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CF17F" w14:textId="77777777" w:rsidR="001A6E90" w:rsidRDefault="00752F93">
      <w:pPr>
        <w:spacing w:after="30" w:line="259" w:lineRule="auto"/>
        <w:ind w:left="0" w:right="211" w:firstLine="0"/>
        <w:jc w:val="right"/>
      </w:pPr>
      <w:r>
        <w:rPr>
          <w:noProof/>
        </w:rPr>
        <w:drawing>
          <wp:inline distT="0" distB="0" distL="0" distR="0" wp14:anchorId="6928249B" wp14:editId="4411406D">
            <wp:extent cx="5485765" cy="514350"/>
            <wp:effectExtent l="0" t="0" r="0" b="0"/>
            <wp:docPr id="129" name="Picture 129"/>
            <wp:cNvGraphicFramePr/>
            <a:graphic xmlns:a="http://schemas.openxmlformats.org/drawingml/2006/main">
              <a:graphicData uri="http://schemas.openxmlformats.org/drawingml/2006/picture">
                <pic:pic xmlns:pic="http://schemas.openxmlformats.org/drawingml/2006/picture">
                  <pic:nvPicPr>
                    <pic:cNvPr id="129" name="Picture 129"/>
                    <pic:cNvPicPr/>
                  </pic:nvPicPr>
                  <pic:blipFill>
                    <a:blip r:embed="rId7"/>
                    <a:stretch>
                      <a:fillRect/>
                    </a:stretch>
                  </pic:blipFill>
                  <pic:spPr>
                    <a:xfrm>
                      <a:off x="0" y="0"/>
                      <a:ext cx="5485765" cy="514350"/>
                    </a:xfrm>
                    <a:prstGeom prst="rect">
                      <a:avLst/>
                    </a:prstGeom>
                  </pic:spPr>
                </pic:pic>
              </a:graphicData>
            </a:graphic>
          </wp:inline>
        </w:drawing>
      </w:r>
      <w:r>
        <w:rPr>
          <w:b/>
          <w:sz w:val="28"/>
        </w:rPr>
        <w:t xml:space="preserve"> </w:t>
      </w:r>
    </w:p>
    <w:p w14:paraId="3DE96B14" w14:textId="77777777" w:rsidR="001A6E90" w:rsidRDefault="00752F93">
      <w:pPr>
        <w:spacing w:after="165" w:line="259" w:lineRule="auto"/>
        <w:ind w:left="427" w:right="0" w:firstLine="0"/>
      </w:pPr>
      <w:r>
        <w:rPr>
          <w:b/>
          <w:sz w:val="28"/>
        </w:rPr>
        <w:t xml:space="preserve"> </w:t>
      </w:r>
    </w:p>
    <w:p w14:paraId="3EBDC538" w14:textId="77777777" w:rsidR="001A6E90" w:rsidRDefault="00752F93">
      <w:pPr>
        <w:spacing w:after="145" w:line="259" w:lineRule="auto"/>
        <w:ind w:left="427" w:right="0" w:firstLine="0"/>
      </w:pPr>
      <w:r>
        <w:rPr>
          <w:b/>
          <w:sz w:val="36"/>
        </w:rPr>
        <w:t xml:space="preserve">Pytania i odpowiedzi </w:t>
      </w:r>
    </w:p>
    <w:p w14:paraId="1143BEDA" w14:textId="0811809E" w:rsidR="001A6E90" w:rsidRDefault="005F1EB1">
      <w:pPr>
        <w:pStyle w:val="Nagwek1"/>
        <w:spacing w:after="0"/>
        <w:ind w:left="422"/>
      </w:pPr>
      <w:r>
        <w:t>Na dzień 12.08.2024</w:t>
      </w:r>
    </w:p>
    <w:p w14:paraId="6EFD6BF0" w14:textId="77777777" w:rsidR="001A6E90" w:rsidRDefault="00752F93">
      <w:pPr>
        <w:spacing w:after="139" w:line="259" w:lineRule="auto"/>
        <w:ind w:left="427" w:right="0" w:firstLine="0"/>
      </w:pPr>
      <w:r>
        <w:t xml:space="preserve"> </w:t>
      </w:r>
    </w:p>
    <w:p w14:paraId="42214BF6" w14:textId="77777777" w:rsidR="001A6E90" w:rsidRDefault="00752F93">
      <w:pPr>
        <w:numPr>
          <w:ilvl w:val="0"/>
          <w:numId w:val="1"/>
        </w:numPr>
        <w:spacing w:after="0" w:line="265" w:lineRule="auto"/>
        <w:ind w:right="117" w:hanging="360"/>
      </w:pPr>
      <w:r>
        <w:rPr>
          <w:b/>
        </w:rPr>
        <w:t xml:space="preserve">Czy wszystkie inwestycje realizowane w ramach Programu Strategicznego </w:t>
      </w:r>
    </w:p>
    <w:p w14:paraId="126C074B" w14:textId="77777777" w:rsidR="001A6E90" w:rsidRDefault="00752F93">
      <w:pPr>
        <w:spacing w:after="92" w:line="265" w:lineRule="auto"/>
        <w:ind w:left="434" w:right="117"/>
      </w:pPr>
      <w:r>
        <w:rPr>
          <w:b/>
        </w:rPr>
        <w:t xml:space="preserve">Wspólnej Polityki Rolnej (PS WPR) lub Europejskiego Funduszu Rozwoju Regionalnego (EFRR) muszą spełniać wymogi dotyczące dostępności dla osób niepełnosprawnych np. czy aby móc zrealizować projekt infrastrukturalny (i zakup wyposażenia) w  świetlicy wiejskiej w OSP budynek musi być dostosowany dla osób niepełnosprawnych?  </w:t>
      </w:r>
    </w:p>
    <w:p w14:paraId="55608370" w14:textId="77777777" w:rsidR="001A6E90" w:rsidRDefault="00752F93">
      <w:pPr>
        <w:ind w:left="422" w:right="122"/>
      </w:pPr>
      <w:r>
        <w:t xml:space="preserve">Tak. Wszystkie inwestycje realizowane w ramach PS WPR oraz EFRR powinny spełniać wymogi wskazane w Ustawie o zapewnianiu dostępności osobom ze szczególnymi potrzebami. </w:t>
      </w:r>
    </w:p>
    <w:p w14:paraId="1F59EA96" w14:textId="77777777" w:rsidR="001A6E90" w:rsidRDefault="00752F93">
      <w:pPr>
        <w:numPr>
          <w:ilvl w:val="0"/>
          <w:numId w:val="1"/>
        </w:numPr>
        <w:spacing w:after="92" w:line="265" w:lineRule="auto"/>
        <w:ind w:right="117" w:hanging="360"/>
      </w:pPr>
      <w:r>
        <w:rPr>
          <w:b/>
        </w:rPr>
        <w:t xml:space="preserve">Jak będzie wyglądała ścieżka postępowania, krok po kroku zaczynając od złożenia wniosku aż po rozliczenie zarówno do PS WPR – otwarcie/ rozwój, oraz FEM  </w:t>
      </w:r>
    </w:p>
    <w:p w14:paraId="5789471F" w14:textId="77777777" w:rsidR="001A6E90" w:rsidRDefault="00752F93">
      <w:pPr>
        <w:ind w:left="422" w:right="122"/>
      </w:pPr>
      <w:r>
        <w:t xml:space="preserve">Pytanie wymaga doprecyzowania. Generalnie ścieżka postępowania będzie wyglądała, jak dotychczas. Zgodnie z ustawą RLKS – złożenie wniosku o przyznanie pomocy, ocena wniosku o przyznanie pomocy przez LGD, ocena wniosku o przyznanie pomocy przez SWM, zawarcie umowy, realizacja, rozliczenie.  </w:t>
      </w:r>
    </w:p>
    <w:p w14:paraId="5DD9BA19" w14:textId="77777777" w:rsidR="001A6E90" w:rsidRDefault="00752F93">
      <w:pPr>
        <w:numPr>
          <w:ilvl w:val="0"/>
          <w:numId w:val="1"/>
        </w:numPr>
        <w:spacing w:after="129" w:line="265" w:lineRule="auto"/>
        <w:ind w:right="117" w:hanging="360"/>
      </w:pPr>
      <w:r>
        <w:rPr>
          <w:b/>
        </w:rPr>
        <w:t xml:space="preserve">Na podstawie jakiego dokumentu weryfikowane będzie miejsce i czas zamieszkania Wnioskodawcy? Czy weryfikowane będzie miejsce zamieszkania (jeżeli tak to w jaki sposób?) czy też miejsce zameldowania?  </w:t>
      </w:r>
    </w:p>
    <w:p w14:paraId="04C53531" w14:textId="77777777" w:rsidR="001A6E90" w:rsidRDefault="00752F93">
      <w:pPr>
        <w:pStyle w:val="Nagwek2"/>
        <w:ind w:left="422"/>
      </w:pPr>
      <w:r>
        <w:t xml:space="preserve">Odpowiedź ARiMR </w:t>
      </w:r>
    </w:p>
    <w:p w14:paraId="1C963FB1" w14:textId="77777777" w:rsidR="001A6E90" w:rsidRDefault="00752F93">
      <w:pPr>
        <w:spacing w:after="46"/>
        <w:ind w:left="422" w:right="0"/>
      </w:pPr>
      <w:r>
        <w:t xml:space="preserve">Jednym z warunków przyznania pomocy w ramach interwencji LEADER/RLKS w przypadku wnioskodawcy będącego osobą fizyczną, jest posiadanie miejsca zamieszkania na obszarze wiejskim objętym strategią rozwoju lokalnego kierowanego przez społeczność (LSR) lub miejsce wykonywania działalności gospodarczej oznaczone adresem wpisanym do Centralnej Ewidencji i Informacji o Działalności Gospodarczej (CEIDG) na obszarze wiejskim objętym LSR lub miejsce wykonywania działalności w ramach pozarolniczych funkcji gospodarstw rolnych na obszarze wiejskim objętym LSR. Proponujemy, aby warunek ten był weryfikowany w taki sam sposób jak w przypadku poddziałania 19.2 „Wsparcie na wdrażanie strategii rozwoju lokalnego kierowanego przez społeczność” objętego Programem Rozwoju Obszarów Wiejskich na lata 2014-2020. W celu udokumentowania miejsca zamieszkania podmiotu na obszarze wiejskim LSR, wnioskodawca powinien przedstawić, wydane przez organ gminy, zaświadczenie z właściwej ewidencji ludności o miejscu zameldowania na pobyt stały lub czasowy wydane nie wcześniej niż 3 miesiące przed dniem złożenia wniosku. Natomiast w przypadku osób </w:t>
      </w:r>
      <w:r>
        <w:lastRenderedPageBreak/>
        <w:t xml:space="preserve">fizycznych prowadzących działalność gospodarczą potwierdzeniem będzie wydruk z CEIDG. </w:t>
      </w:r>
    </w:p>
    <w:p w14:paraId="4B162731" w14:textId="77777777" w:rsidR="001A6E90" w:rsidRDefault="00752F93">
      <w:pPr>
        <w:ind w:left="422" w:right="122"/>
      </w:pPr>
      <w:r>
        <w:t xml:space="preserve">W przypadku wnioskodawcy będącego osobą prawną lub jednostką organizacyjną nieposiadającą osobowości prawnej, której ustawa przyznaje zdolność prawną, jednym z warunków przyznania pomocy jest posiadanie siedziby lub oddziału, które znajdują się na obszarze wiejskim objętym LSR. Dokumentami potwierdzającymi ten warunek będą wydruk z CEIDG oraz wypis z Krajowego Rejestru Sądowego. Zgodnie z wytycznymi szczegółowymi, wyżej wymienione warunki przyznania pomocy to warunki podmiotowe o charakterze ogólnym. Jednak zwracamy uwagę, że istnieje możliwość uszczegółowienia tego obszaru w ramach kryteriów wyboru operacji o charakterze dostępowym, których spełnienie warunkuje udzielenie wsparcia. Tego rodzaju działania pozostają w zakresie kompetencji lokalnej grupy działania (LGD) i wymagają uzgodnienia z samorządem województwa (SW). </w:t>
      </w:r>
    </w:p>
    <w:p w14:paraId="246DF7F7" w14:textId="77777777" w:rsidR="001C0843" w:rsidRDefault="001C0843" w:rsidP="001C0843">
      <w:pPr>
        <w:pStyle w:val="Nagwek1"/>
        <w:spacing w:after="0"/>
        <w:ind w:left="422"/>
      </w:pPr>
      <w:r>
        <w:t>Pytania szczegółowe</w:t>
      </w:r>
    </w:p>
    <w:p w14:paraId="23DA8B7A" w14:textId="03D884DE" w:rsidR="001A6E90" w:rsidRDefault="00752F93" w:rsidP="001C0843">
      <w:pPr>
        <w:pStyle w:val="Nagwek1"/>
        <w:spacing w:after="0"/>
        <w:ind w:left="422"/>
      </w:pPr>
      <w:r>
        <w:rPr>
          <w:color w:val="FF0000"/>
        </w:rPr>
        <w:t xml:space="preserve"> </w:t>
      </w:r>
    </w:p>
    <w:p w14:paraId="12258FEE" w14:textId="77777777" w:rsidR="001A6E90" w:rsidRDefault="00752F93">
      <w:pPr>
        <w:numPr>
          <w:ilvl w:val="0"/>
          <w:numId w:val="2"/>
        </w:numPr>
        <w:spacing w:after="129" w:line="265" w:lineRule="auto"/>
        <w:ind w:right="117" w:hanging="360"/>
      </w:pPr>
      <w:r>
        <w:rPr>
          <w:b/>
        </w:rPr>
        <w:t xml:space="preserve">Co z dostępnością obiektów finansowanych w ramach PS WPR np. place zabaw, siłownie zewnętrzne, czy one muszą być w pełni dostępne? Przykładem niech będą materiały stosowane jako podłoże do posadowienia urządzeń - czy może być trawnik/ piasek czy muszą być wykładziny/ płytki gumowe?  </w:t>
      </w:r>
    </w:p>
    <w:p w14:paraId="460F5150" w14:textId="77777777" w:rsidR="001A6E90" w:rsidRDefault="00752F93">
      <w:pPr>
        <w:ind w:left="422" w:right="122"/>
      </w:pPr>
      <w:r>
        <w:t xml:space="preserve">Ustawa o zapewnianiu dostępności osobom ze szczególnymi potrzebami (dz.U.2019 poz. 1696). </w:t>
      </w:r>
    </w:p>
    <w:p w14:paraId="54AF3836" w14:textId="77777777" w:rsidR="001A6E90" w:rsidRDefault="00752F93">
      <w:pPr>
        <w:numPr>
          <w:ilvl w:val="0"/>
          <w:numId w:val="2"/>
        </w:numPr>
        <w:spacing w:after="90" w:line="265" w:lineRule="auto"/>
        <w:ind w:right="117" w:hanging="360"/>
      </w:pPr>
      <w:r>
        <w:rPr>
          <w:b/>
        </w:rPr>
        <w:t xml:space="preserve">Czy w ramach modernizacji budynku pod względem dostępności musi obligatoryjnie winda czy może być platforma schodowa?  </w:t>
      </w:r>
    </w:p>
    <w:p w14:paraId="610C5AC3" w14:textId="79F63181" w:rsidR="001A6E90" w:rsidRDefault="00752F93">
      <w:pPr>
        <w:ind w:left="422" w:right="122"/>
      </w:pPr>
      <w:r>
        <w:t xml:space="preserve">Powinien być zapewniony dostęp w taki sposób, aby osoba ze szczególnymi potrzebami mogła korzystać samodzielnie. </w:t>
      </w:r>
    </w:p>
    <w:p w14:paraId="087D2A7F" w14:textId="74D60823" w:rsidR="001A6E90" w:rsidRDefault="00752F93" w:rsidP="00CD51C7">
      <w:pPr>
        <w:spacing w:after="184"/>
        <w:ind w:left="0" w:right="122" w:firstLine="0"/>
      </w:pPr>
      <w:r>
        <w:t xml:space="preserve"> </w:t>
      </w:r>
    </w:p>
    <w:p w14:paraId="6D9B2B8D" w14:textId="77777777" w:rsidR="001A6E90" w:rsidRDefault="00752F93">
      <w:pPr>
        <w:numPr>
          <w:ilvl w:val="0"/>
          <w:numId w:val="3"/>
        </w:numPr>
        <w:spacing w:after="91" w:line="265" w:lineRule="auto"/>
        <w:ind w:right="117" w:hanging="360"/>
      </w:pPr>
      <w:r>
        <w:rPr>
          <w:b/>
        </w:rPr>
        <w:t xml:space="preserve">W jaki sposób będzie wypłacana dotacja na rozpoczęcie działalności gospodarczej w formie ryczałtu? Czy będzie tak jak do tej pory, że część kwoty będzie wypłacana bezpośrednio po zawarciu umowy i zarejestrowaniu działalności gospodarczej, a reszta po zrealizowaniu operacji?  </w:t>
      </w:r>
    </w:p>
    <w:p w14:paraId="74E2B02A" w14:textId="77777777" w:rsidR="001A6E90" w:rsidRDefault="00752F93">
      <w:pPr>
        <w:spacing w:after="29"/>
        <w:ind w:left="422" w:right="122"/>
      </w:pPr>
      <w:r>
        <w:t xml:space="preserve">Zgodnie z Wytycznymi szczegółowymi w zakresie przyznawania i wypłaty pomocy finansowej w ramach Planu Strategicznego dla Wspólnej Polityki Rolnej na lata 2023-2027 dla interwencji I.13.1 LEADER/Rozwój Lokalny Kierowany przez </w:t>
      </w:r>
    </w:p>
    <w:p w14:paraId="378D237C" w14:textId="77777777" w:rsidR="001A6E90" w:rsidRDefault="00752F93">
      <w:pPr>
        <w:ind w:left="422" w:right="122"/>
      </w:pPr>
      <w:r>
        <w:t xml:space="preserve">Społeczność (RLKS)- komponent Wdrażanie LSR, pomoc w zakresie „start działalności gospodarczej” przyznaje się na operację, której realizacja nastąpi w jednym etapie i będzie wypłacana w formie ryczałtu, po spełnieniu wszystkich warunków przedmiotowych dla danego zakresu pomocy. Zatem całość wypłaty pomocy nastąpi po zrealizowaniu biznesplanu. Istnieje możliwość skorzystania z wcześniejszego instrumentu wsparcia w postaci wyprzedzającego finansowania bądź zaliczki, jeśli Beneficjent wnioskował o jej wypłatę we wniosku o przyznaniu pomocy. </w:t>
      </w:r>
    </w:p>
    <w:p w14:paraId="3C971900" w14:textId="77777777" w:rsidR="001A6E90" w:rsidRDefault="00752F93">
      <w:pPr>
        <w:numPr>
          <w:ilvl w:val="0"/>
          <w:numId w:val="3"/>
        </w:numPr>
        <w:spacing w:after="129" w:line="265" w:lineRule="auto"/>
        <w:ind w:right="117" w:hanging="360"/>
      </w:pPr>
      <w:r>
        <w:rPr>
          <w:b/>
        </w:rPr>
        <w:lastRenderedPageBreak/>
        <w:t xml:space="preserve">Czy w przypadku operacji komercyjnych, produkcyjnych, polegających na rozwijaniu działalności gospodarczej będzie obowiązek utworzenia co najmniej jednego miejsca pracy? Jeśli nie, to czy obowiązkowa jest realizacja wskaźnika rezultatu „Wzrost gospodarczy i zatrudnienie na obszarach wiejskich: nowe miejsca pracy objęte wsparciem w ramach projektów WPR” w ramach przedsięwzięć na rozwijanie działalności gospodarczej?  </w:t>
      </w:r>
    </w:p>
    <w:p w14:paraId="0BA6DD62" w14:textId="77777777" w:rsidR="001A6E90" w:rsidRDefault="00752F93">
      <w:pPr>
        <w:spacing w:after="106"/>
        <w:ind w:left="422" w:right="122"/>
      </w:pPr>
      <w:r>
        <w:t xml:space="preserve">Jeżeli do przedsięwzięcia jest przypisany wskaźnik rezultatu R.37 Wzrost gospodarczy i zatrudnienie na obszarach wiejskich: nowe miejsca pracy objęte wsparciem w ramach projektów WPR utworzenie miejsca pracy jest obowiązkowe. Natomiast jeżeli do przedsięwzięcia, które realizuje operacja przypisany jest wskaźnik rezultatu R.39 Rozwój gospodarki wiejskiej: liczba przedsiębiorstw rolnych, w tym przedsiębiorstw zajmujących się w </w:t>
      </w:r>
      <w:proofErr w:type="spellStart"/>
      <w:r>
        <w:t>biogospodarką</w:t>
      </w:r>
      <w:proofErr w:type="spellEnd"/>
      <w:r>
        <w:t xml:space="preserve">, rozwiniętych dzięki wsparciu w ramach WPR nie ma obowiązku tworzenia miejsca pracy. Należy jednak mieć na uwadze, iż brak obowiązku tworzenia miejsc pracy dotyczy przedsiębiorstw rolnych. </w:t>
      </w:r>
    </w:p>
    <w:p w14:paraId="1B87BDEA" w14:textId="77777777" w:rsidR="001A6E90" w:rsidRDefault="00752F93">
      <w:pPr>
        <w:spacing w:after="106"/>
        <w:ind w:left="422" w:right="122"/>
      </w:pPr>
      <w:r>
        <w:t xml:space="preserve">Z wytycznych podstawowych, ani z wytycznych szczegółowych nie wynika obowiązek utworzenia miejsca pracy w przypadku rozwoju działalności gospodarczej. Niemniej, w Planie Strategicznym dla wspólnej polityki rolnej na lata 2023-2027 (PS WPR / Plan) ustanowiono, zgodnie z rozporządzeniem Parlamentu Europejskiego i Rady (UE) 2021/2115, zestaw wskaźników rezultatu, stosowanych do ustalenia i monitorowania realizacji celów. </w:t>
      </w:r>
    </w:p>
    <w:p w14:paraId="418D6E28" w14:textId="77777777" w:rsidR="001A6E90" w:rsidRDefault="00752F93">
      <w:pPr>
        <w:ind w:left="422" w:right="122"/>
      </w:pPr>
      <w:r>
        <w:t xml:space="preserve">Katalog wszystkich wskaźników rezultatu został określony w załączniku I do rozporządzenia 2021/2115. Dla potrzeb wdrażania </w:t>
      </w:r>
      <w:proofErr w:type="spellStart"/>
      <w:r>
        <w:t>interwerencji</w:t>
      </w:r>
      <w:proofErr w:type="spellEnd"/>
      <w:r>
        <w:t xml:space="preserve"> LEADER zostało wybranych tylko 9. Jednym ze wskaźników dla inicjatywy LEADER jest wskaźnik rezultatu R.37 Wzrost gospodarczy i zatrudnienie na obszarach wiejskich: nowe miejsca pracy objęte wsparciem w ramach projektów WPR. Zgodnie z „Katalogiem obowiązkowych wskaźników rezultatu PS WPR (do wyboru) z załącznika nr I do rozporządzenia 2021/2115 z wyjaśnieniami co do sposobu ich opracowania”, należy liczyć tylko faktycznie utworzone nowe miejsca pracy oraz miejsca pracy zabezpieczone (poprzez np. wsparcie odnowy pokoleń, które jest formą wsparcia dla tworzenia miejsc pracy). Odnosi się to do zatrudnienia w momencie uruchomienia projektu, tj. jeśli projekt polega na utworzeniu sklepu rolniczego, nie obejmuje zatrudnienia powstałego w fazie projektowania/budowy - konsultantów/architektów/budowniczych, ale zatrudnienie, które powstaje w momencie uruchomienia sklepu (kierownik, asystenci sprzedaży itp.). </w:t>
      </w:r>
    </w:p>
    <w:p w14:paraId="69C7DE8D" w14:textId="77777777" w:rsidR="001A6E90" w:rsidRDefault="00752F93">
      <w:pPr>
        <w:spacing w:after="105"/>
        <w:ind w:left="422" w:right="122"/>
      </w:pPr>
      <w:r>
        <w:t xml:space="preserve">Nie należy liczyć pracy </w:t>
      </w:r>
      <w:proofErr w:type="spellStart"/>
      <w:r>
        <w:t>wolontariackiej</w:t>
      </w:r>
      <w:proofErr w:type="spellEnd"/>
      <w:r>
        <w:t xml:space="preserve">, ale uwzględnia się samozatrudnienie.  </w:t>
      </w:r>
    </w:p>
    <w:p w14:paraId="33B1C840" w14:textId="77777777" w:rsidR="001A6E90" w:rsidRDefault="00752F93">
      <w:pPr>
        <w:spacing w:after="106"/>
        <w:ind w:left="422" w:right="122"/>
      </w:pPr>
      <w:r>
        <w:t xml:space="preserve">Wskaźnik liczony jest w przeliczeniu na pełne etaty; zatem w przypadku przekształcenia istniejącego zatrudnienia na pół etatu w zatrudnienie na cały etat, wartość wskaźnika wynosi 0,5. Gdy informacja ta nie jest dostępna rolnik jest rozliczany jako 1 pełny etat. </w:t>
      </w:r>
    </w:p>
    <w:p w14:paraId="465C10D9" w14:textId="77777777" w:rsidR="001A6E90" w:rsidRDefault="00752F93">
      <w:pPr>
        <w:ind w:left="422" w:right="122"/>
      </w:pPr>
      <w:r>
        <w:t xml:space="preserve">Aby policzyć jedno utworzone miejsce pracy w przeliczeniu na pełne etaty, czas trwania umowy powinien wynosić rok lub więcej (np. umowa na 6 miesięcy przy 100% to 0,5).  </w:t>
      </w:r>
    </w:p>
    <w:p w14:paraId="54FF2741" w14:textId="77777777" w:rsidR="001A6E90" w:rsidRDefault="00752F93">
      <w:pPr>
        <w:ind w:left="422" w:right="122"/>
      </w:pPr>
      <w:r>
        <w:lastRenderedPageBreak/>
        <w:t xml:space="preserve">Wskaźnik ten obejmuje miejsca pracy utworzone dzięki wsparciu z planów strategicznych WPR, które obejmuje miejsca pracy utworzone w sektorze rolnym oraz zatrudnienie pozarolnicze na obszarach wiejskich. </w:t>
      </w:r>
    </w:p>
    <w:p w14:paraId="5B91BAF5" w14:textId="77777777" w:rsidR="001A6E90" w:rsidRDefault="00752F93">
      <w:pPr>
        <w:ind w:left="422" w:right="122"/>
      </w:pPr>
      <w:r>
        <w:t xml:space="preserve">Zdaniem SWM obowiązek stosowania ww. wskaźnika będzie miał miejsce w odniesieniu do wszystkich Lokalnych Grup Działania w ramach realizacji inicjatywy LEADER, a tym samym obowiązkowe będzie utworzenie co najmniej jednego miejsca pracy. Dodatkowo zgodnie z wytycznymi szczegółowymi rekomenduje się LGD zastosowanie co najmniej dwóch kryteriów wyboru operacji o charakterze rankingującym m.in. zapewniających tworzenie nowych miejsc pracy oraz zatrudnienie na nich pracowników, jeżeli taką deklarację złożył wnioskodawca w celu uzyskania dodatkowych punktów za spełnienie kryteriów wyboru. Kryteria wyboru operacji muszą być logicznie powiązane ze stwierdzonymi potrzebami, określonymi celami oraz przyjętymi wskaźnikami rezultatu. W związku z powyższym zastosowanie ww. kryterium będzie zależne od zapisów zamieszczonych w Lokalnych Strategiach Rozwoju poszczególnych Lokalnych Grup Działania.  </w:t>
      </w:r>
    </w:p>
    <w:p w14:paraId="00BE3AC0" w14:textId="77777777" w:rsidR="001A6E90" w:rsidRDefault="00752F93">
      <w:pPr>
        <w:numPr>
          <w:ilvl w:val="0"/>
          <w:numId w:val="8"/>
        </w:numPr>
        <w:spacing w:after="129" w:line="265" w:lineRule="auto"/>
        <w:ind w:right="117" w:hanging="360"/>
      </w:pPr>
      <w:r>
        <w:rPr>
          <w:b/>
        </w:rPr>
        <w:t xml:space="preserve">Ile środków będzie zabierane z budżetu LSR w przypadku operacji realizowanych przez JSFP? 75%? czy tak jak było w okresie 2014 – 2020 100% kosztów kwalifikowalnych?  </w:t>
      </w:r>
    </w:p>
    <w:p w14:paraId="1CE080E3" w14:textId="77777777" w:rsidR="001A6E90" w:rsidRDefault="00752F93">
      <w:pPr>
        <w:ind w:left="154" w:right="122"/>
      </w:pPr>
      <w:r>
        <w:t xml:space="preserve">    Z budżetu LGD będzie zabierane 100% kosztów kwalifikowalnych. </w:t>
      </w:r>
    </w:p>
    <w:p w14:paraId="6BBD5397" w14:textId="77777777" w:rsidR="001A6E90" w:rsidRDefault="00752F93">
      <w:pPr>
        <w:numPr>
          <w:ilvl w:val="0"/>
          <w:numId w:val="8"/>
        </w:numPr>
        <w:ind w:right="117" w:hanging="360"/>
      </w:pPr>
      <w:r>
        <w:rPr>
          <w:b/>
        </w:rPr>
        <w:t xml:space="preserve">Co z zakupem samochodu (otwarcie/rozwój) oraz pojazdów budowlanych, lawet itd.? Jaki procent dofinansowania można na nie przeznaczyć?  </w:t>
      </w:r>
      <w:r>
        <w:t xml:space="preserve">    Zgodnie z wytycznymi podstawowymi do kosztów niekwalifikowalnych należą m.in. koszty zakupu używanych maszyn, urządzeń, wyposażenia, w tym również ich instalacji, z wyłączeniem eksponatów w I.13.1 w ramach operacji dotyczących dziedzictwa kulturowego oraz koszty zakupu samochodów osobowych. W związku  z powyższym kosztami kwalifikowalnymi będą koszty zakupu nowych maszyn, urządzeń, wyposażenia, a także koszt zakupu samochodów ciężarowych.      W wytycznych podstawowych ani w wytycznych szczegółowych nie zostały zawarte ograniczenia dotyczące % udziału kosztów zakupu maszyn czy samochodów ciężarowych w stosunku do pozostałych kosztów kwalifikowalnych.</w:t>
      </w:r>
      <w:r>
        <w:rPr>
          <w:b/>
        </w:rPr>
        <w:t xml:space="preserve"> </w:t>
      </w:r>
    </w:p>
    <w:p w14:paraId="593CA600" w14:textId="77777777" w:rsidR="001A6E90" w:rsidRDefault="00752F93">
      <w:pPr>
        <w:numPr>
          <w:ilvl w:val="0"/>
          <w:numId w:val="8"/>
        </w:numPr>
        <w:spacing w:after="80" w:line="310" w:lineRule="auto"/>
        <w:ind w:right="117" w:hanging="360"/>
      </w:pPr>
      <w:r>
        <w:rPr>
          <w:b/>
        </w:rPr>
        <w:t xml:space="preserve">Czy wnioskodawców będzie obowiązywał tryb konkurencyjny?  </w:t>
      </w:r>
      <w:r>
        <w:t xml:space="preserve">Nie, w ramach EFRROW nie obowiązuje tryb konkurencyjny. JSFP obowiązuje prawo zamówień publicznych. </w:t>
      </w:r>
    </w:p>
    <w:p w14:paraId="06B94404" w14:textId="77777777" w:rsidR="001A6E90" w:rsidRDefault="00752F93">
      <w:pPr>
        <w:numPr>
          <w:ilvl w:val="0"/>
          <w:numId w:val="8"/>
        </w:numPr>
        <w:spacing w:after="129" w:line="265" w:lineRule="auto"/>
        <w:ind w:right="117" w:hanging="360"/>
      </w:pPr>
      <w:r>
        <w:rPr>
          <w:b/>
          <w:u w:val="single" w:color="000000"/>
        </w:rPr>
        <w:t xml:space="preserve">Podejmowanie pozarolniczej działalności gospodarczej: </w:t>
      </w:r>
      <w:r>
        <w:rPr>
          <w:b/>
        </w:rPr>
        <w:t xml:space="preserve">- czy emeryt może założyć działalność gospodarczą i jakie ma zobowiązania w zakresie zgłoszenia do ubezpieczenia? </w:t>
      </w:r>
    </w:p>
    <w:p w14:paraId="0C730427" w14:textId="77777777" w:rsidR="001A6E90" w:rsidRDefault="00752F93">
      <w:pPr>
        <w:spacing w:after="28"/>
        <w:ind w:left="427" w:right="122" w:hanging="283"/>
      </w:pPr>
      <w:r>
        <w:t xml:space="preserve">    Przepisy Wytycznej szczegółowej w zakresie przyznawania i wypłaty pomocy finansowej w ramach Planu Strategicznego dla Wspólnej Polityki Rolnej na lata 2023-2027 dla interwencji I.13.1 LEADER/Rozwój Lokalny Kierowany przez </w:t>
      </w:r>
    </w:p>
    <w:p w14:paraId="33731693" w14:textId="77777777" w:rsidR="001A6E90" w:rsidRDefault="00752F93">
      <w:pPr>
        <w:ind w:left="422" w:right="122"/>
      </w:pPr>
      <w:r>
        <w:t xml:space="preserve">Społeczność (RLKS)- komponent Wdrażanie LSR nie wykluczają możliwości przyznania pomocy Beneficjentowi posiadającemu status „emeryta”. Jako emeryt prowadzący działalność gospodarczą, podobnie jak przedsiębiorca zobowiązany jest do zgłoszenia działalności do ubezpieczeń zgodnie z obowiązującym </w:t>
      </w:r>
      <w:r>
        <w:lastRenderedPageBreak/>
        <w:t xml:space="preserve">przepisami o systemie ubezpieczeń społecznych. Z uwagi na ustalone prawo do emerytury Beneficjent podejmujący pozarolniczą działalność gospodarczą może skorzystać ze zwolnienia w opłacaniu składek na ubezpieczenie społeczne. </w:t>
      </w:r>
    </w:p>
    <w:p w14:paraId="6135C70A" w14:textId="77777777" w:rsidR="001A6E90" w:rsidRDefault="00752F93">
      <w:pPr>
        <w:numPr>
          <w:ilvl w:val="0"/>
          <w:numId w:val="8"/>
        </w:numPr>
        <w:spacing w:after="129" w:line="265" w:lineRule="auto"/>
        <w:ind w:right="117" w:hanging="360"/>
      </w:pPr>
      <w:r>
        <w:rPr>
          <w:b/>
          <w:u w:val="single" w:color="000000"/>
        </w:rPr>
        <w:t xml:space="preserve">Rozwój działalności gospodarczej: - </w:t>
      </w:r>
      <w:r>
        <w:rPr>
          <w:b/>
        </w:rPr>
        <w:t xml:space="preserve">czy w ramach rozwoju firmy która prowadzi obecnie firmę pod kodem PKD np. związanym z branżą budowlaną możliwe jest pozyskanie dofinansowania rozwój firmy w ramach innego kodu PKD np. poprzez świadczenie usług noclegowych. Na jaki moment konieczny będzie wpis dodatkowego kodu w katalog kodów PKD firmy – czy tak jak do tej pory – na moment wniosku o płatność? Firma musi wykonywać działalność gospodarczą przez ponad 365 dni, czy weryfikowany będzie kod PKD, pod którym prowadzona będzie ta działalność, czy też nie będzie to miało znaczenia i będzie możliwa wyżej opisana sytuacja – rozwój firmy budowlanej poprzez świadczenie usług noclegowych. </w:t>
      </w:r>
    </w:p>
    <w:p w14:paraId="6721A8F7" w14:textId="77777777" w:rsidR="001A6E90" w:rsidRDefault="00752F93">
      <w:pPr>
        <w:spacing w:after="107"/>
        <w:ind w:left="422" w:right="122"/>
      </w:pPr>
      <w:r>
        <w:t xml:space="preserve">Zgodnie z Regulaminem konkursu na wybór strategii rozwoju lokalnego kierowanego przez społeczność LGD w LSR powinny zostać zaplanowane konkretne rodzaje działalności gospodarczej, które będą mogły otrzymać dofinansowanie. Mając powyższe na uwadze, w pierwszej kolejności wskazany kod PKD musi być zgodny z kodami wskazanymi w LSR, które mogą otrzymać dofinansowanie. </w:t>
      </w:r>
    </w:p>
    <w:p w14:paraId="115BFFDF" w14:textId="77777777" w:rsidR="001A6E90" w:rsidRDefault="00752F93">
      <w:pPr>
        <w:ind w:left="422" w:right="122"/>
      </w:pPr>
      <w:r>
        <w:t xml:space="preserve">W wytycznych podstawowych, ani wytycznych szczegółowych nie zostały zawarte warunki rozwoju działalności gospodarczej odnoszące się do kodów PKD. W opinii SWM zakres rozwijanej operacji nie musi być związany z zakresem dotychczas wykonywanej działalności. W przypadku, gdy działalność będzie  rozwijana o nowy zakres konieczne będzie dodanie nowego wpisu w CEIDG, tożsamego z kodem PKD wskazanym we wniosku o przyznanie pomocy. Sprawdzenie czy beneficjent prowadzi działalność gospodarczą w oparciu o wskazany we wniosku kod PKD, nastąpi najpóźniej na etapie oceny  wniosku o płatność końcową. </w:t>
      </w:r>
    </w:p>
    <w:p w14:paraId="6AE71C55" w14:textId="77777777" w:rsidR="001A6E90" w:rsidRDefault="00752F93">
      <w:pPr>
        <w:numPr>
          <w:ilvl w:val="0"/>
          <w:numId w:val="9"/>
        </w:numPr>
        <w:spacing w:after="129" w:line="265" w:lineRule="auto"/>
        <w:ind w:right="117" w:hanging="360"/>
      </w:pPr>
      <w:r>
        <w:rPr>
          <w:b/>
        </w:rPr>
        <w:t xml:space="preserve">Czy wnioskodawcą może być rolnik zatrudniony na podstawie umowy o pracę,  </w:t>
      </w:r>
    </w:p>
    <w:p w14:paraId="3F36DB98" w14:textId="77777777" w:rsidR="001A6E90" w:rsidRDefault="00752F93">
      <w:pPr>
        <w:spacing w:after="105"/>
        <w:ind w:left="422" w:right="122"/>
      </w:pPr>
      <w:r>
        <w:t xml:space="preserve">Wykonywanie pracy na podstawie umowy o pracę wiąże się z objęciem takiej osoby obowiązkowym ubezpieczeniem ZUS, wynikiem czego jest utrata uprawnień w Kasie Rolniczego Ubezpieczenia Społecznego. </w:t>
      </w:r>
    </w:p>
    <w:p w14:paraId="369333A8" w14:textId="39E75D0C" w:rsidR="001A6E90" w:rsidRDefault="00752F93">
      <w:pPr>
        <w:spacing w:after="103"/>
        <w:ind w:left="422" w:right="122"/>
      </w:pPr>
      <w:r>
        <w:t>Osoba, która uprawia gospodarstwo rolne, co do zasady jest objęta ubezpieczeniem rolniczym (KRUS). Jednak dzieje się tak, gdy rolnik nie ma dodatkowych umów lub nie pozostaje w innych stosunkach prawnych wywołujących obowiązek ubezpieczenia w ZUS-ie. Zwykle wykonywanie działalności stanowiącej tytuł do ubezpieczeń w ZUS-ie wyklucza rolnika z ubezpieczenia w KRUS-</w:t>
      </w:r>
      <w:proofErr w:type="spellStart"/>
      <w:r>
        <w:t>ie</w:t>
      </w:r>
      <w:proofErr w:type="spellEnd"/>
      <w:r>
        <w:t xml:space="preserve">, jednak istnieją wyjątki od tej zasady.  Jedynym dozwolonym przypadkiem, który nie spowoduje tak negatywnych konsekwencji dla rolnika podejmującego pracę, jak utrata świadczeń w </w:t>
      </w:r>
      <w:proofErr w:type="spellStart"/>
      <w:r>
        <w:t>KRUSie</w:t>
      </w:r>
      <w:proofErr w:type="spellEnd"/>
      <w:r>
        <w:t>, jest zatrudnienie na podstawie umowy zlecenie. Jednakże oprócz tego należy spełnić jeszcze jeden konieczny warunek – wysokość przychodu zleceniobiorcy</w:t>
      </w:r>
      <w:r w:rsidR="00CD51C7">
        <w:t xml:space="preserve"> </w:t>
      </w:r>
      <w:r>
        <w:t>rolnika nie może przekroczyć kwoty równej minimalnemu wynagrodzeniu za pracę.  Reasumując zatrudnienie na podstawie umowy o pracę skutkuje wyłączeniem spod ubezpieczenia społecznego w KRUS-</w:t>
      </w:r>
      <w:proofErr w:type="spellStart"/>
      <w:r>
        <w:t>ie</w:t>
      </w:r>
      <w:proofErr w:type="spellEnd"/>
      <w:r>
        <w:t xml:space="preserve"> i objęciem ubezpieczeniem w </w:t>
      </w:r>
      <w:proofErr w:type="spellStart"/>
      <w:r>
        <w:t>ZUSie</w:t>
      </w:r>
      <w:proofErr w:type="spellEnd"/>
      <w:r>
        <w:t xml:space="preserve">. </w:t>
      </w:r>
      <w:r>
        <w:lastRenderedPageBreak/>
        <w:t xml:space="preserve">Inaczej jest w przypadku zawarcia umowy zlecenia – tu po spełnieniu warunków można pozostać ubezpieczonym w </w:t>
      </w:r>
      <w:proofErr w:type="spellStart"/>
      <w:r>
        <w:t>KRUSie</w:t>
      </w:r>
      <w:proofErr w:type="spellEnd"/>
      <w:r>
        <w:t xml:space="preserve">. </w:t>
      </w:r>
    </w:p>
    <w:p w14:paraId="48317AEA" w14:textId="77777777" w:rsidR="001A6E90" w:rsidRDefault="00752F93">
      <w:pPr>
        <w:ind w:left="422" w:right="122"/>
      </w:pPr>
      <w:r>
        <w:t>Zgodnie z ustawą z dnia 20 grudnia 1990 r. o ubezpieczeniu społecznym rolników Art.  5a.  [Prowadzenie pozarolniczej działalności gospodarczej] Rolnik lub domownik, który podlegając ubezpieczeniu w pełnym zakresie z mocy ustawy nieprzerwanie przez co najmniej 3 lata, rozpocznie prowadzenie pozarolniczej działalności gospodarczej lub rozpocznie współpracę przy prowadzeniu tej działalności, podlega nadal temu ubezpieczeniu w okresie prowadzenia pozarolniczej działalności gospodarczej lub współpracy przy prowadzeniu tej działalności, jeżeli spełnia jednocześnie następujące warunki:1) złoży w Kasie oświadczenie o kontynuowaniu tego ubezpieczenia w terminie 14 dni od dnia rozpoczęcia wykonywania pozarolniczej działalności gospodarczej lub współpracy przy tej działalności;2) jednocześnie nadal prowadzi działalność rolniczą lub stale pracuje w gospodarstwie rolnym, obejmującym obszar użytków rolnych powyżej 1 ha przeliczeniowego, lub w dziale specjalnym; 3) nie jest pracownikiem i nie pozostaje w stosunku służbowym;4) nie ma ustalonego prawa do emerytury lub renty albo do świadczeń z ubezpieczeń społecznych;5) kwota należnego podatku dochodowego za poprzedni rok podatkowy od przychodów z pozarolniczej działalności gospodarczej nie przekracza kwoty 4358 zł.</w:t>
      </w:r>
      <w:r>
        <w:rPr>
          <w:b/>
        </w:rPr>
        <w:t xml:space="preserve"> </w:t>
      </w:r>
    </w:p>
    <w:p w14:paraId="2D453668" w14:textId="420BCF5A" w:rsidR="001A6E90" w:rsidRDefault="00752F93">
      <w:pPr>
        <w:numPr>
          <w:ilvl w:val="0"/>
          <w:numId w:val="9"/>
        </w:numPr>
        <w:spacing w:after="95" w:line="265" w:lineRule="auto"/>
        <w:ind w:right="117" w:hanging="360"/>
      </w:pPr>
      <w:r>
        <w:rPr>
          <w:b/>
        </w:rPr>
        <w:t>Czy możliwe jest bycie ubezpieczonym w ZUS, jeśli posiada się</w:t>
      </w:r>
      <w:r w:rsidR="00CD51C7">
        <w:rPr>
          <w:b/>
        </w:rPr>
        <w:t xml:space="preserve"> </w:t>
      </w:r>
      <w:r>
        <w:rPr>
          <w:b/>
        </w:rPr>
        <w:t xml:space="preserve">gospodarstwo rolne  </w:t>
      </w:r>
    </w:p>
    <w:p w14:paraId="5344EDA0" w14:textId="77777777" w:rsidR="001A6E90" w:rsidRDefault="00752F93">
      <w:pPr>
        <w:spacing w:after="108"/>
        <w:ind w:left="422" w:right="122"/>
      </w:pPr>
      <w:r>
        <w:t xml:space="preserve">Tak jest możliwe bycie ubezpieczonym w ZUS, jeśli posiada się gospodarstwo rolne. </w:t>
      </w:r>
    </w:p>
    <w:p w14:paraId="165CF5A9" w14:textId="77777777" w:rsidR="001A6E90" w:rsidRDefault="00752F93">
      <w:pPr>
        <w:ind w:left="422" w:right="122"/>
      </w:pPr>
      <w:r>
        <w:t>Rolnik spełniający wymienione warunki, może prowadzić działalność i odprowadzać składki do KRUS-u. Musi jednak pamiętać o tym, aby po rozliczeniu roku podatkowego, do 31 maja każdego roku, złożyć w KRUS-</w:t>
      </w:r>
      <w:proofErr w:type="spellStart"/>
      <w:r>
        <w:t>ie</w:t>
      </w:r>
      <w:proofErr w:type="spellEnd"/>
      <w:r>
        <w:t xml:space="preserve"> zaświadczenie z urzędu skarbowego o wysokości należytego podatku za poprzedni rok. Jeśli kwota podatku przekroczy roczną kwotę graniczną lub termin, w którym należy złożyć zaświadczenie zostanie przekroczony, ubezpieczenie ustanie z dniem, od którego zainteresowany zobowiązany był złożyć zaświadczenie.  </w:t>
      </w:r>
    </w:p>
    <w:p w14:paraId="09D75839" w14:textId="2BE9E3D0" w:rsidR="00CD51C7" w:rsidRDefault="00752F93" w:rsidP="00CD51C7">
      <w:pPr>
        <w:ind w:left="422" w:right="122"/>
        <w:rPr>
          <w:b/>
        </w:rPr>
      </w:pPr>
      <w:r>
        <w:rPr>
          <w:u w:val="single" w:color="000000"/>
        </w:rPr>
        <w:t>Zgodnie z ustawą z dnia 20 grudnia 1990 r. o ubezpieczeniu społecznym rolników</w:t>
      </w:r>
      <w:r>
        <w:t xml:space="preserve"> art. 5b. 1. Ustawy o ubezpieczeniu rolników- Rolnik lub domownik, który podlegając ubezpieczeniu w pełnym zakresie z mocy ustawy, został objęty innym ubezpieczeniem społecznym z tytułu wykonywania umowy, o której mowa w art. 6 ust. 1 pkt 4 ustawy z dnia 13 października 1998 r. o systemie ubezpieczeń społecznych (Dz. U. z 2023 r. poz. 1230, 1429, 1672 i 1941), lub powołania do rady nadzorczej, podlega nadal temu ubezpieczeniu w okresie wykonywania umowy, o której mowa w art. 6 ust. 1 pkt 4 ustawy z dnia 13 października 1998 r. o systemie ubezpieczeń społecznych, lub pełnienia funkcji w radzie nadzorczej, pomimo objęcia go z tego tytułu innym ubezpieczeniem społecznym, jeżeli przychód osiągany z tego tytułu w rozliczeniu miesięcznym nie przekracza kwoty równej minimalnemu wynagrodzeniu za pracę, ustalonemu na podstawie </w:t>
      </w:r>
    </w:p>
    <w:p w14:paraId="6F2E6044" w14:textId="77777777" w:rsidR="001A6E90" w:rsidRDefault="00752F93">
      <w:pPr>
        <w:spacing w:after="94" w:line="265" w:lineRule="auto"/>
        <w:ind w:left="427" w:right="117" w:hanging="360"/>
      </w:pPr>
      <w:r>
        <w:rPr>
          <w:b/>
        </w:rPr>
        <w:t xml:space="preserve">15. Ochrona dziedzictwa przyrodniczego polskiej wsi: czy w ramach niniejszego zakresu możliwa będzie realizacja projektu w zakresie utworzenia (budowy) ośrodka rehabilitacji dzikich zwierząt. W ośrodku znajdowałyby się głównie ranne lub chore zwierzęta, które można byłoby zobaczyć. W ośrodku takim </w:t>
      </w:r>
      <w:r>
        <w:rPr>
          <w:b/>
        </w:rPr>
        <w:lastRenderedPageBreak/>
        <w:t xml:space="preserve">mogłaby się znajdować placówka badawcza, ośrodek edukacji przyrodniczej. Ośrodek mógłby także stanowić azyl dla gatunków obcych, mogłaby być również prowadzona </w:t>
      </w:r>
      <w:proofErr w:type="spellStart"/>
      <w:r>
        <w:rPr>
          <w:b/>
        </w:rPr>
        <w:t>reintrodukcja</w:t>
      </w:r>
      <w:proofErr w:type="spellEnd"/>
      <w:r>
        <w:rPr>
          <w:b/>
        </w:rPr>
        <w:t xml:space="preserve"> gatunków, które wyginęły w naturze poprzez odnowienie gatunku.  </w:t>
      </w:r>
    </w:p>
    <w:p w14:paraId="612FF448" w14:textId="77777777" w:rsidR="001A6E90" w:rsidRDefault="00752F93">
      <w:pPr>
        <w:spacing w:after="0" w:line="259" w:lineRule="auto"/>
        <w:ind w:left="427" w:right="0" w:firstLine="0"/>
      </w:pPr>
      <w:r>
        <w:rPr>
          <w:color w:val="FF0000"/>
        </w:rPr>
        <w:t xml:space="preserve"> </w:t>
      </w:r>
    </w:p>
    <w:p w14:paraId="07BB576F" w14:textId="77777777" w:rsidR="001A6E90" w:rsidRDefault="00752F93">
      <w:pPr>
        <w:pStyle w:val="Nagwek2"/>
        <w:spacing w:after="153"/>
        <w:ind w:left="422"/>
      </w:pPr>
      <w:r>
        <w:t xml:space="preserve">Odpowiedź ARiMR </w:t>
      </w:r>
    </w:p>
    <w:p w14:paraId="3915F8AB" w14:textId="77777777" w:rsidR="001A6E90" w:rsidRDefault="00752F93">
      <w:pPr>
        <w:spacing w:after="299"/>
        <w:ind w:left="422" w:right="47"/>
      </w:pPr>
      <w:r>
        <w:t xml:space="preserve">Dziedzictwo przyrodnicze są to elementy przyrody m.in. dziko występujące rośliny, zwierzęta i grzyby, rośliny, zwierzęta i grzyby objęte ochroną gatunkową, siedliska przyrodnicze, twory przyrody żywej i nieożywionej oraz kopalne szczątki roślin i zwierząt, uznane przez lokalną grupę działania (LGD) za ważne dla społeczeństwa z danego obszaru oraz warte zachowania dla następnych pokoleń, w szczególności objęte jedną z form ochrony (np. parki narodowe, rezerwaty przyrody, parki krajobrazowe, obszary chronionego krajobrazu, obszary Natura 2000). Warunkiem przyznania pomocy w zakresie „Ochrona dziedzictwa kulturowego lub przyrodniczego polskiej wsi” jest wykazanie, iż operacja będzie realizowana na obszarze objętym formą ochrony przyrody lub dotyczy pomnika przyrody. Ponadto, </w:t>
      </w:r>
      <w:proofErr w:type="spellStart"/>
      <w:r>
        <w:t>MRiRW</w:t>
      </w:r>
      <w:proofErr w:type="spellEnd"/>
      <w:r>
        <w:t xml:space="preserve"> informuje, że nie zajmuje stanowiska w indywidualnych przypadkach, a takim wydaje się przypadek opisany w piśmie samorządu województwa małopolskiego. </w:t>
      </w:r>
    </w:p>
    <w:p w14:paraId="1AF18C91" w14:textId="77777777" w:rsidR="001A6E90" w:rsidRDefault="00752F93">
      <w:pPr>
        <w:spacing w:after="129" w:line="265" w:lineRule="auto"/>
        <w:ind w:left="428" w:right="117" w:hanging="358"/>
      </w:pPr>
      <w:r>
        <w:rPr>
          <w:b/>
        </w:rPr>
        <w:t xml:space="preserve">16. Poprawa dostępu do małej infrastruktury publicznej – czy wiadomo coś więcej jakiego rodzaju projekty mogą być realizowane w ramach tego zakresu.  </w:t>
      </w:r>
    </w:p>
    <w:p w14:paraId="3FAA655A" w14:textId="77777777" w:rsidR="001A6E90" w:rsidRDefault="00752F93">
      <w:pPr>
        <w:pStyle w:val="Nagwek2"/>
        <w:ind w:left="422"/>
      </w:pPr>
      <w:r>
        <w:t xml:space="preserve">Odpowiedź ARiMR </w:t>
      </w:r>
    </w:p>
    <w:p w14:paraId="06FEFCE6" w14:textId="77777777" w:rsidR="001A6E90" w:rsidRDefault="00752F93">
      <w:pPr>
        <w:spacing w:after="183"/>
        <w:ind w:left="422" w:right="122"/>
      </w:pPr>
      <w:r>
        <w:t xml:space="preserve">Mała infrastruktura publiczna” zostało zdefiniowane w PS WPR. Pod pojęciem tym kryją się wszystkie operacje niekomercyjne, których koszty całkowite nie przekraczają 1 mln euro. Może to być infrastruktura kulturalna, turystyczna, rekreacyjna lub sportowa. Może to być jeden większy obiekt lub zbiór mniejszych obiektów infrastruktury pod warunkiem, że koszty całkowite operacji nie przekroczą 1 mln euro. Dodatkowo, warunkiem obowiązującym we wszystkich zakresach pomocy, jest warunek o nieprzyznawaniu pomocy na operacje obejmujące budowę lub modernizację dróg w zrozumieniu art. 4 ustawy z dnia 21 marca 1985 r. o drogach publicznych, targowisk, sieci wodno-kanalizacyjnych, przydomowych oczyszczalni ścieków, oraz operacje dotyczące świadczenia usług rolniczych. </w:t>
      </w:r>
    </w:p>
    <w:p w14:paraId="7F38B6CD" w14:textId="77777777" w:rsidR="001A6E90" w:rsidRDefault="00752F93">
      <w:pPr>
        <w:numPr>
          <w:ilvl w:val="0"/>
          <w:numId w:val="17"/>
        </w:numPr>
        <w:spacing w:after="93" w:line="265" w:lineRule="auto"/>
        <w:ind w:right="117" w:hanging="360"/>
      </w:pPr>
      <w:r>
        <w:rPr>
          <w:b/>
        </w:rPr>
        <w:t xml:space="preserve">Z Wytycznych nie wynika obowiązek zgłaszania się do ubezpieczeń ZUS dla Beneficjentów pomocy na Start DG w sytuacji gdy już objęci są ubezpieczeniem z tyt. zatrudnienia na umowę o pracę. Prosimy o potwierdzenie, że takiego obowiązku nie będzie.  </w:t>
      </w:r>
    </w:p>
    <w:p w14:paraId="3DC9DFF7" w14:textId="77777777" w:rsidR="001A6E90" w:rsidRDefault="00752F93">
      <w:pPr>
        <w:ind w:left="422" w:right="122"/>
      </w:pPr>
      <w:r>
        <w:t xml:space="preserve">Brak jest obligatoryjnego obowiązku zgłaszania się do ubezpieczeń ZUS Beneficjentów pomocy na Start DG, w sytuacji gdy są oni już objęci ubezpieczeniem z tyt. zatrudnienia na umowę o pracę. W przypadku zbiegu tytułów do ubezpieczeń Beneficjent może skorzystać ze zwolnienia w opłacaniu składek na ubezpieczenie społeczne, bądź zdecydować się na  dobrowolne objęcie ubezpieczeniem emerytalnym i rentowym. Nie ma natomiast obowiązku zgłaszania się do ubezpieczenia chorobowego oraz do Funduszu Pracy. </w:t>
      </w:r>
    </w:p>
    <w:p w14:paraId="04A1EC90" w14:textId="77777777" w:rsidR="001A6E90" w:rsidRDefault="00752F93">
      <w:pPr>
        <w:numPr>
          <w:ilvl w:val="0"/>
          <w:numId w:val="17"/>
        </w:numPr>
        <w:spacing w:after="94" w:line="265" w:lineRule="auto"/>
        <w:ind w:right="117" w:hanging="360"/>
      </w:pPr>
      <w:r>
        <w:rPr>
          <w:b/>
        </w:rPr>
        <w:lastRenderedPageBreak/>
        <w:t xml:space="preserve">W związku z Zapisem w Wytycznych szczegółowych (…) : „W  zakresie włączenia społecznego seniorów, ludzi młodych lub osób w niekorzystnej sytuacji pomoc na operację inwestycyjną przyznaje się podmiotom świadczącym usługi na rzecz grup osób wymagających włączenia w ramach swoich zadań statutowych albo ustawowych, w szczególności organizacjom pozarządowym lub instytucjom kultury” prosimy o wyjaśnienie pojęcia zakresu rzeczowego „operacja inwestycyjna”.  </w:t>
      </w:r>
    </w:p>
    <w:p w14:paraId="52FCFE05" w14:textId="77777777" w:rsidR="001A6E90" w:rsidRDefault="00752F93">
      <w:pPr>
        <w:ind w:left="422" w:right="122"/>
      </w:pPr>
      <w:r>
        <w:t xml:space="preserve">Operacja inwestycyjna to operacja, która obejmuje swoim zakresem koszty związane z realizowaną inwestycją, tj. koszty nabycia składników majątkowych, w tym praw majątkowych (np. licencji, znaków towarowych, patentów), nadających się do gospodarczego wykorzystania, o przewidywanym okresie ekonomicznej użyteczności dłuższym niż rok, przeznaczone na potrzeby jednostki wykonującej swoje zadania statutowe albo ustawowe, służące włączeniu społecznemu seniorów, ludzi młodych lub osób w niekorzystnej sytuacji. </w:t>
      </w:r>
    </w:p>
    <w:p w14:paraId="4EA9D803" w14:textId="77777777" w:rsidR="001A6E90" w:rsidRDefault="00752F93">
      <w:pPr>
        <w:numPr>
          <w:ilvl w:val="0"/>
          <w:numId w:val="17"/>
        </w:numPr>
        <w:spacing w:after="12" w:line="265" w:lineRule="auto"/>
        <w:ind w:right="117" w:hanging="360"/>
      </w:pPr>
      <w:r>
        <w:rPr>
          <w:b/>
        </w:rPr>
        <w:t xml:space="preserve">Czy zapis Wytycznych szczegółowych „osiągnięcie co najmniej 30% docelowego zakładanego w biznesplanie ilościowego lub wartościowego poziomu sprzedaży produktów lub usług do dnia, w którym upłynie pełny rok obrachunkowy od dnia wypłaty pomocy” oznacza, że do tego okresu wlicza się pełen rok kalendarzowy plus ewentualne miesiące z roku „niepełnego”? Przykładowo: wypłata nastąpi w marcu 2027. 30% obrotu należy wykazać za okres od kwietnia 2027 do grudnia 2028 czy od kwietnia 2027 do marca </w:t>
      </w:r>
    </w:p>
    <w:p w14:paraId="64D0CEE4" w14:textId="77777777" w:rsidR="001A6E90" w:rsidRDefault="00752F93">
      <w:pPr>
        <w:spacing w:after="129" w:line="265" w:lineRule="auto"/>
        <w:ind w:left="434" w:right="117"/>
      </w:pPr>
      <w:r>
        <w:rPr>
          <w:b/>
        </w:rPr>
        <w:t xml:space="preserve">2028? A może od stycznia  2028 do grudnia 2028? – FE-IX </w:t>
      </w:r>
    </w:p>
    <w:p w14:paraId="399DFEEF" w14:textId="77777777" w:rsidR="001A6E90" w:rsidRDefault="00752F93">
      <w:pPr>
        <w:numPr>
          <w:ilvl w:val="1"/>
          <w:numId w:val="17"/>
        </w:numPr>
        <w:ind w:right="122"/>
      </w:pPr>
      <w:r>
        <w:t>zakresie rozwój DG pomoc przyznaje się, jeżeli operacja zakłada osiągnięcie co najmniej 30% docelowego zakładanego w biznesplanie ilościowego lub wartościowego poziomu sprzedaży produktów lub usług do dnia, w którym upłynie pełny rok obrachunkowy od dnia wypłaty pomocy. Zatem oznacza to, iż</w:t>
      </w:r>
      <w:r>
        <w:rPr>
          <w:b/>
        </w:rPr>
        <w:t xml:space="preserve"> </w:t>
      </w:r>
      <w:r>
        <w:t xml:space="preserve">w przypadku wypłaty pomocy w marcu 2027, 30% obrotu należy wykazać za okres od marca 2027 do marca 2028. </w:t>
      </w:r>
      <w:r>
        <w:rPr>
          <w:color w:val="FF0000"/>
        </w:rPr>
        <w:t xml:space="preserve"> </w:t>
      </w:r>
    </w:p>
    <w:p w14:paraId="7D49E532" w14:textId="77777777" w:rsidR="001A6E90" w:rsidRDefault="00752F93">
      <w:pPr>
        <w:numPr>
          <w:ilvl w:val="0"/>
          <w:numId w:val="17"/>
        </w:numPr>
        <w:spacing w:after="94" w:line="265" w:lineRule="auto"/>
        <w:ind w:right="117" w:hanging="360"/>
      </w:pPr>
      <w:r>
        <w:rPr>
          <w:b/>
        </w:rPr>
        <w:t xml:space="preserve">Z wytycznych szczegółowych: „W przypadku nieuwzględnienia w oddzielnym systemie rachunkowości zdarzenia powodującego poniesienie kosztów albo gdy do jego identyfikacji nie wykorzystano odpowiedniego kodu rachunkowego w przypadku operacji finansowanych w formie płatności ryczałtowych kwotę pomocy przysługującą do wypłaty pomniejsza się o 10%.” Czy  całość tego zapisu dotyczy premii na start DG?  </w:t>
      </w:r>
    </w:p>
    <w:p w14:paraId="16EAAF38" w14:textId="77777777" w:rsidR="001A6E90" w:rsidRDefault="00752F93">
      <w:pPr>
        <w:spacing w:after="0"/>
        <w:ind w:left="422" w:right="122"/>
      </w:pPr>
      <w:r>
        <w:t xml:space="preserve">Warunek wypłaty pomocy dotyczący prowadzenia oddzielnego systemu rachunkowości lub korzystania z odpowiedniego kodu rachunkowego dla wszystkich transakcji związanych z realizacją operacji w ramach prowadzonych ksiąg rachunkowych, lub prowadzenia zestawienia faktur/równoważnych dokumentów księgowych (gdy Beneficjent nie był zobowiązany do prowadzenia ksiąg rachunkowych) będzie obowiązkowy dla wszystkich typów operacji objętych PSWPR. Powyższe wynika z warunków wypłaty pomocy określonych w </w:t>
      </w:r>
    </w:p>
    <w:p w14:paraId="4450BB27" w14:textId="77777777" w:rsidR="001A6E90" w:rsidRDefault="00752F93">
      <w:pPr>
        <w:spacing w:after="15"/>
        <w:ind w:left="422" w:right="122"/>
      </w:pPr>
      <w:r>
        <w:t xml:space="preserve">Wytycznych podstawowych w zakresie pomocy finansowej w ramach Planu </w:t>
      </w:r>
    </w:p>
    <w:p w14:paraId="6828AFC4" w14:textId="77777777" w:rsidR="001A6E90" w:rsidRDefault="00752F93">
      <w:pPr>
        <w:ind w:left="422" w:right="122"/>
      </w:pPr>
      <w:r>
        <w:t xml:space="preserve">Strategicznego dla Wspólnej Polityki Rolnej na lata 2023-202, a stosowne zapisy zostaną określone we wzorach umów o przyznaniu pomocy dla poszczególnych interwencji. </w:t>
      </w:r>
    </w:p>
    <w:p w14:paraId="7BEBE1EB" w14:textId="77777777" w:rsidR="001A6E90" w:rsidRDefault="00752F93">
      <w:pPr>
        <w:numPr>
          <w:ilvl w:val="0"/>
          <w:numId w:val="17"/>
        </w:numPr>
        <w:spacing w:after="129" w:line="265" w:lineRule="auto"/>
        <w:ind w:right="117" w:hanging="360"/>
      </w:pPr>
      <w:r>
        <w:rPr>
          <w:b/>
        </w:rPr>
        <w:lastRenderedPageBreak/>
        <w:t xml:space="preserve">Jednoosobowa działalność gospodarcza nie ma obowiązku prowadzenia pełnej księgowości o jakim więc oddzielnym systemie rachunkowym lub kodzie rachunkowym jest tu mowa? Czy Beneficjenci zostaną zmuszeni do prowadzenia pełnej księgowości?  </w:t>
      </w:r>
    </w:p>
    <w:p w14:paraId="2346EDE8" w14:textId="77777777" w:rsidR="001A6E90" w:rsidRDefault="00752F93">
      <w:pPr>
        <w:numPr>
          <w:ilvl w:val="1"/>
          <w:numId w:val="17"/>
        </w:numPr>
        <w:ind w:right="122"/>
      </w:pPr>
      <w:r>
        <w:t xml:space="preserve">przypadku Beneficjentów nie zobowiązanych na podstawie aktualnych przepisów do prowadzenia ksiąg rachunkowych i sporządzania sprawozdania finansowego zgodnie z zasadami określonymi w ustawie o rachunkowości przez „oddzielny system rachunkowości albo odpowiedni kod rachunkowy” należy rozumieć zestawienie faktur lub równoważnych dokumentów księgowych. </w:t>
      </w:r>
    </w:p>
    <w:p w14:paraId="7321A8BB" w14:textId="77777777" w:rsidR="001A6E90" w:rsidRDefault="00752F93">
      <w:pPr>
        <w:numPr>
          <w:ilvl w:val="0"/>
          <w:numId w:val="17"/>
        </w:numPr>
        <w:spacing w:after="129" w:line="265" w:lineRule="auto"/>
        <w:ind w:right="117" w:hanging="360"/>
      </w:pPr>
      <w:r>
        <w:rPr>
          <w:b/>
        </w:rPr>
        <w:t xml:space="preserve">Zakres: Poprawa dostępu do usług dla lokalnych społeczności  </w:t>
      </w:r>
    </w:p>
    <w:p w14:paraId="6D530AC3" w14:textId="77777777" w:rsidR="001A6E90" w:rsidRDefault="00752F93">
      <w:pPr>
        <w:spacing w:after="157" w:line="259" w:lineRule="auto"/>
        <w:ind w:left="422" w:right="150" w:hanging="435"/>
      </w:pPr>
      <w:r>
        <w:rPr>
          <w:b/>
          <w:i/>
        </w:rPr>
        <w:t xml:space="preserve">       IV.3.2. Dodatkowe warunki przedmiotowe dla poszczególnych zakresów wsparcia</w:t>
      </w:r>
      <w:r>
        <w:rPr>
          <w:b/>
        </w:rPr>
        <w:t xml:space="preserve"> </w:t>
      </w:r>
    </w:p>
    <w:p w14:paraId="25D0CC5C" w14:textId="77777777" w:rsidR="001A6E90" w:rsidRDefault="00752F93">
      <w:pPr>
        <w:spacing w:after="157" w:line="259" w:lineRule="auto"/>
        <w:ind w:left="427" w:right="150" w:hanging="283"/>
      </w:pPr>
      <w:r>
        <w:rPr>
          <w:b/>
          <w:i/>
        </w:rPr>
        <w:t xml:space="preserve">    12 .W zakresie poprawa dostępu do usług dla lokalnych społeczności pomoc   przyznaje się, jeżeli operacja: </w:t>
      </w:r>
    </w:p>
    <w:p w14:paraId="563CA017" w14:textId="77777777" w:rsidR="001A6E90" w:rsidRDefault="00752F93">
      <w:pPr>
        <w:numPr>
          <w:ilvl w:val="3"/>
          <w:numId w:val="18"/>
        </w:numPr>
        <w:spacing w:after="157" w:line="259" w:lineRule="auto"/>
        <w:ind w:right="150" w:firstLine="271"/>
      </w:pPr>
      <w:r>
        <w:rPr>
          <w:b/>
          <w:i/>
        </w:rPr>
        <w:t xml:space="preserve">nie obejmuje inwestycji infrastrukturalnych </w:t>
      </w:r>
    </w:p>
    <w:p w14:paraId="6ED674CF" w14:textId="77777777" w:rsidR="001A6E90" w:rsidRDefault="00752F93">
      <w:pPr>
        <w:numPr>
          <w:ilvl w:val="3"/>
          <w:numId w:val="18"/>
        </w:numPr>
        <w:spacing w:after="116" w:line="259" w:lineRule="auto"/>
        <w:ind w:right="150" w:firstLine="271"/>
      </w:pPr>
      <w:r>
        <w:rPr>
          <w:b/>
          <w:i/>
        </w:rPr>
        <w:t xml:space="preserve">zakłada, iż efekty operacji będą służyły zaspokajaniu potrzeb społeczności   lokalnej, a ewentualne obiekty infrastruktury powstające w ramach tych operacji będą ogólnodostępne </w:t>
      </w:r>
      <w:r>
        <w:rPr>
          <w:b/>
        </w:rPr>
        <w:t xml:space="preserve">Pytanie: </w:t>
      </w:r>
    </w:p>
    <w:p w14:paraId="344C1CF7" w14:textId="77777777" w:rsidR="001A6E90" w:rsidRDefault="00752F93">
      <w:pPr>
        <w:spacing w:after="152" w:line="265" w:lineRule="auto"/>
        <w:ind w:left="434" w:right="117"/>
      </w:pPr>
      <w:r>
        <w:rPr>
          <w:b/>
        </w:rPr>
        <w:t>Jakie przykładowe zadania będą możliwe do zrealizowania i czy będzie można realizować w ramach tego zakresu zadania infrastrukturalne czy nie?</w:t>
      </w:r>
      <w:r>
        <w:t xml:space="preserve"> </w:t>
      </w:r>
      <w:r>
        <w:rPr>
          <w:color w:val="FF0000"/>
        </w:rPr>
        <w:t xml:space="preserve"> </w:t>
      </w:r>
    </w:p>
    <w:p w14:paraId="66FFFBA1" w14:textId="77777777" w:rsidR="001A6E90" w:rsidRDefault="00752F93">
      <w:pPr>
        <w:pStyle w:val="Nagwek2"/>
        <w:spacing w:after="163"/>
        <w:ind w:left="422"/>
      </w:pPr>
      <w:r>
        <w:t xml:space="preserve">Odpowiedź ARiMR </w:t>
      </w:r>
    </w:p>
    <w:p w14:paraId="05654FC5" w14:textId="77777777" w:rsidR="001A6E90" w:rsidRDefault="00752F93">
      <w:pPr>
        <w:spacing w:after="181"/>
        <w:ind w:left="422" w:right="122"/>
      </w:pPr>
      <w:r>
        <w:t xml:space="preserve">Zakres „Poprawa dostępu do usług dla lokalnych społeczności z wyłączeniem inwestycji infrastrukturalnych oraz operacji produkcyjnych (zakresy 1-3)” zakłada, iż efekty operacji będą służyły zaspokajaniu potrzeb społeczności lokalnej, a ewentualne obiekty infrastruktury powstające w ramach tych operacji będą ogólnodostępne. W ramach tego zakresu możliwe będą do realizacji np. inwestycje polegające na wyposażeniu istniejącego już obiektu infrastruktury (np. świetlicy, przedszkola, boiska) lub inwestycje w obiekty infrastruktury ogólnodostępnej takie jak np. ławki, piaskownice, huśtawki, drabinki, śmietniki. </w:t>
      </w:r>
    </w:p>
    <w:p w14:paraId="1AB1EAD9" w14:textId="77777777" w:rsidR="001A6E90" w:rsidRDefault="00752F93">
      <w:pPr>
        <w:spacing w:after="129" w:line="265" w:lineRule="auto"/>
        <w:ind w:left="427" w:right="548" w:hanging="427"/>
      </w:pPr>
      <w:r>
        <w:rPr>
          <w:b/>
        </w:rPr>
        <w:t xml:space="preserve">23. Zakres: Poprawa dostępu do małej infrastruktury publicznej  14.W zakresie poprawa dostępu do małej infrastruktury publicznej pomoc przyznaje się, jeżeli: </w:t>
      </w:r>
    </w:p>
    <w:p w14:paraId="368B35BD" w14:textId="77777777" w:rsidR="001A6E90" w:rsidRDefault="00752F93">
      <w:pPr>
        <w:spacing w:after="129" w:line="265" w:lineRule="auto"/>
        <w:ind w:left="434" w:right="1119"/>
      </w:pPr>
      <w:r>
        <w:rPr>
          <w:b/>
        </w:rPr>
        <w:t xml:space="preserve">1) operacja służy zaspokajaniu potrzeb społeczności lokalnej; 2) infrastruktura będąca efektem tej inwestycji jest ogólnodostępna i niekomercyjna lub obejmuje obiekty użyteczności publicznej; </w:t>
      </w:r>
    </w:p>
    <w:p w14:paraId="15996243" w14:textId="77777777" w:rsidR="001A6E90" w:rsidRDefault="00752F93">
      <w:pPr>
        <w:spacing w:after="42" w:line="344" w:lineRule="auto"/>
        <w:ind w:left="434" w:right="1499"/>
      </w:pPr>
      <w:r>
        <w:rPr>
          <w:b/>
        </w:rPr>
        <w:t xml:space="preserve">3) koszty całkowite operacji nie przekraczają 1 mln euro. Pytanie: </w:t>
      </w:r>
    </w:p>
    <w:p w14:paraId="385B6C92" w14:textId="77777777" w:rsidR="001A6E90" w:rsidRDefault="00752F93">
      <w:pPr>
        <w:numPr>
          <w:ilvl w:val="0"/>
          <w:numId w:val="19"/>
        </w:numPr>
        <w:spacing w:after="92" w:line="265" w:lineRule="auto"/>
        <w:ind w:right="117" w:hanging="360"/>
      </w:pPr>
      <w:r>
        <w:rPr>
          <w:b/>
        </w:rPr>
        <w:t xml:space="preserve">Czy jest w tym zakresie otwarty katalog możliwych do realizacji zadań </w:t>
      </w:r>
    </w:p>
    <w:p w14:paraId="2660FAC7" w14:textId="77777777" w:rsidR="001A6E90" w:rsidRDefault="00752F93">
      <w:pPr>
        <w:spacing w:after="129" w:line="265" w:lineRule="auto"/>
        <w:ind w:left="434" w:right="117"/>
      </w:pPr>
      <w:r>
        <w:rPr>
          <w:b/>
        </w:rPr>
        <w:t xml:space="preserve">(infrastruktura kulturalna, turystyczna, rekreacyjna, sportowa?) </w:t>
      </w:r>
    </w:p>
    <w:p w14:paraId="718160AF" w14:textId="77777777" w:rsidR="001A6E90" w:rsidRDefault="00752F93">
      <w:pPr>
        <w:numPr>
          <w:ilvl w:val="0"/>
          <w:numId w:val="19"/>
        </w:numPr>
        <w:spacing w:after="129" w:line="265" w:lineRule="auto"/>
        <w:ind w:right="117" w:hanging="360"/>
      </w:pPr>
      <w:r>
        <w:rPr>
          <w:b/>
        </w:rPr>
        <w:t xml:space="preserve">Jakie obiekty małej infrastruktury mogą być dofinansowane ? Czy może być to jeden większy obiekt ? czy jedynie zbiór małych obiektów infrastruktury ? </w:t>
      </w:r>
    </w:p>
    <w:p w14:paraId="0B6702DA" w14:textId="77777777" w:rsidR="001A6E90" w:rsidRDefault="00752F93">
      <w:pPr>
        <w:pStyle w:val="Nagwek2"/>
        <w:spacing w:after="142"/>
        <w:ind w:left="422"/>
      </w:pPr>
      <w:r>
        <w:lastRenderedPageBreak/>
        <w:t xml:space="preserve">Odpowiedź ARiMR </w:t>
      </w:r>
    </w:p>
    <w:p w14:paraId="09E5209E" w14:textId="77777777" w:rsidR="001A6E90" w:rsidRDefault="00752F93">
      <w:pPr>
        <w:spacing w:after="185"/>
        <w:ind w:left="422" w:right="122"/>
      </w:pPr>
      <w:r>
        <w:t xml:space="preserve">Inwestycja infrastrukturalna to taka inwestycja, w wyniku której powstaje obiekt infrastruktury. Inwestycje te zostały objęte zakresem „Poprawa dostępu do małej infrastruktury publicznej”. Pojęcie „mała infrastruktura publiczna” zostało zdefiniowane w PS WPR. Pod pojęciem tym kryją się wszystkie operacje niekomercyjne, których koszty całkowite nie przekraczają 1 mln euro. Może to być infrastruktura kulturalna, turystyczna, rekreacyjna lub sportowa. Może to być jeden większy obiekt lub zbiór mniejszych obiektów infrastruktury pod warunkiem, że koszty całkowite operacji nie przekroczą 1 mln euro. Dodatkowo, warunkiem obowiązującym we wszystkich zakresach pomocy, jest warunek o nieprzyznawaniu pomocy na operacje obejmujące budowę lub modernizację dróg w zrozumieniu art. 4 ustawy z dnia 21 marca 1985 r. o drogach publicznych, targowisk, sieci wodnokanalizacyjnych, przydomowych oczyszczalni ścieków, oraz operacje dotyczące świadczenia usług rolniczych. </w:t>
      </w:r>
    </w:p>
    <w:p w14:paraId="36210273" w14:textId="77777777" w:rsidR="001A6E90" w:rsidRDefault="00752F93">
      <w:pPr>
        <w:numPr>
          <w:ilvl w:val="0"/>
          <w:numId w:val="20"/>
        </w:numPr>
        <w:spacing w:after="129" w:line="265" w:lineRule="auto"/>
        <w:ind w:right="117" w:hanging="425"/>
      </w:pPr>
      <w:r>
        <w:rPr>
          <w:b/>
        </w:rPr>
        <w:t xml:space="preserve">Czy Wnioskodawca ubiegający się o dofinansowanie musi spełniać warunki dostępności? Czy siedziba Wnioskodawcy ma być dostępna? Czy miejsce realizacji operacji ma być dostępne?  </w:t>
      </w:r>
    </w:p>
    <w:p w14:paraId="2B67C055" w14:textId="77777777" w:rsidR="001A6E90" w:rsidRDefault="00752F93">
      <w:pPr>
        <w:ind w:left="422" w:right="122"/>
      </w:pPr>
      <w:r>
        <w:t xml:space="preserve">Miejsce realizacji powinno być dostępne, jeżeli przyjmujemy klientów. </w:t>
      </w:r>
    </w:p>
    <w:p w14:paraId="44C43C96" w14:textId="77777777" w:rsidR="00CD51C7" w:rsidRPr="00CD51C7" w:rsidRDefault="00752F93">
      <w:pPr>
        <w:numPr>
          <w:ilvl w:val="0"/>
          <w:numId w:val="20"/>
        </w:numPr>
        <w:spacing w:after="129" w:line="265" w:lineRule="auto"/>
        <w:ind w:right="117" w:hanging="425"/>
      </w:pPr>
      <w:r>
        <w:rPr>
          <w:b/>
        </w:rPr>
        <w:t xml:space="preserve">Czy każdy realizowany projekt musi spełniać warunki dostępności? Np. w ramach rozwoju działalności gospodarczej powstaje obiekt noclegowy, to czy ten obiekt noclegowy musi być z dostępem? Kolejny przykład, to w ramach ochrony i opieki nad zabytkami wykonujemy renowacje w kościele, czy w takim wypadku kościół musi spełniać warunki dostępności?  </w:t>
      </w:r>
    </w:p>
    <w:p w14:paraId="464A4C74" w14:textId="346FEC2D" w:rsidR="001A6E90" w:rsidRDefault="00752F93" w:rsidP="00CD51C7">
      <w:pPr>
        <w:spacing w:after="129" w:line="265" w:lineRule="auto"/>
        <w:ind w:left="427" w:right="117" w:firstLine="0"/>
      </w:pPr>
      <w:r>
        <w:t xml:space="preserve">Tak. </w:t>
      </w:r>
    </w:p>
    <w:p w14:paraId="2B63D43C" w14:textId="77777777" w:rsidR="001A6E90" w:rsidRDefault="00752F93">
      <w:pPr>
        <w:numPr>
          <w:ilvl w:val="0"/>
          <w:numId w:val="20"/>
        </w:numPr>
        <w:spacing w:after="129" w:line="265" w:lineRule="auto"/>
        <w:ind w:right="117" w:hanging="425"/>
      </w:pPr>
      <w:r>
        <w:rPr>
          <w:b/>
        </w:rPr>
        <w:t xml:space="preserve">Czy dopuszczalne jest w rozwoju działalności gospodarczej, że całkowity koszt operacji wynosi 4 mln zł, a dofinansowanie stanowi tylko 200 000 zł? </w:t>
      </w:r>
      <w:r>
        <w:rPr>
          <w:b/>
          <w:color w:val="FF0000"/>
        </w:rPr>
        <w:t xml:space="preserve"> </w:t>
      </w:r>
    </w:p>
    <w:p w14:paraId="2FD1D053" w14:textId="77777777" w:rsidR="001A6E90" w:rsidRDefault="00752F93">
      <w:pPr>
        <w:ind w:left="12" w:right="122"/>
      </w:pPr>
      <w:r>
        <w:t xml:space="preserve">      Tak, brak ograniczeń w powyższym zakresie.</w:t>
      </w:r>
      <w:r>
        <w:rPr>
          <w:color w:val="FF0000"/>
        </w:rPr>
        <w:t xml:space="preserve"> </w:t>
      </w:r>
    </w:p>
    <w:p w14:paraId="1F31C16B" w14:textId="77777777" w:rsidR="001A6E90" w:rsidRDefault="00752F93">
      <w:pPr>
        <w:numPr>
          <w:ilvl w:val="0"/>
          <w:numId w:val="20"/>
        </w:numPr>
        <w:spacing w:after="92" w:line="265" w:lineRule="auto"/>
        <w:ind w:right="117" w:hanging="425"/>
      </w:pPr>
      <w:r>
        <w:rPr>
          <w:b/>
        </w:rPr>
        <w:t>Czy osoba fizyczna która jest ubezpieczona w KRUS-</w:t>
      </w:r>
      <w:proofErr w:type="spellStart"/>
      <w:r>
        <w:rPr>
          <w:b/>
        </w:rPr>
        <w:t>ie</w:t>
      </w:r>
      <w:proofErr w:type="spellEnd"/>
      <w:r>
        <w:rPr>
          <w:b/>
        </w:rPr>
        <w:t xml:space="preserve"> może otworzyć działalność gospodarczą/rozwijać działalność i nadal pozostawać ubezpieczonym w KRUS-</w:t>
      </w:r>
      <w:proofErr w:type="spellStart"/>
      <w:r>
        <w:rPr>
          <w:b/>
        </w:rPr>
        <w:t>ie</w:t>
      </w:r>
      <w:proofErr w:type="spellEnd"/>
      <w:r>
        <w:rPr>
          <w:b/>
        </w:rPr>
        <w:t xml:space="preserve">? Czy musi zrezygnować z tego ubezpieczenia i przejść na ZUS?  </w:t>
      </w:r>
    </w:p>
    <w:p w14:paraId="52D5E15D" w14:textId="77777777" w:rsidR="001A6E90" w:rsidRDefault="00752F93">
      <w:pPr>
        <w:ind w:left="422" w:right="122"/>
      </w:pPr>
      <w:r>
        <w:t xml:space="preserve">W zakresie start DG pomoc przyznaje się, jeżeli operacja zakłada podjęcie we własnym imieniu działalności gospodarczej, do której stosuje się przepisy ustawy Prawo przedsiębiorców oraz nastąpi zgłoszenie wnioskodawcy ubiegającego się o przyznanie pomocy do ubezpieczenia emerytalnego, rentowego i wypadkowego na podstawie przepisów o systemie ubezpieczeń społecznych z tytułu wykonywania tej działalności, jeżeli osoba ta nie jest objęta tym ubezpieczeniem lub społecznym ubezpieczeniem rolników. </w:t>
      </w:r>
    </w:p>
    <w:p w14:paraId="72338F2A" w14:textId="77777777" w:rsidR="001A6E90" w:rsidRDefault="00752F93">
      <w:pPr>
        <w:ind w:left="427" w:right="122" w:hanging="425"/>
      </w:pPr>
      <w:r>
        <w:t xml:space="preserve">      Zatem nie ma obligatoryjnego obowiązku rezygnacji z ubezpieczenia w Kasie Rolniczego Ubezpieczenia Społecznego. </w:t>
      </w:r>
    </w:p>
    <w:p w14:paraId="3F082B0E" w14:textId="77777777" w:rsidR="001A6E90" w:rsidRDefault="00752F93">
      <w:pPr>
        <w:numPr>
          <w:ilvl w:val="0"/>
          <w:numId w:val="20"/>
        </w:numPr>
        <w:spacing w:after="129" w:line="265" w:lineRule="auto"/>
        <w:ind w:right="117" w:hanging="425"/>
      </w:pPr>
      <w:r>
        <w:rPr>
          <w:b/>
        </w:rPr>
        <w:t xml:space="preserve">Czy udziałowiec w wieloosobowej spółce z ograniczoną odpowiedzialnością może ubiegać się o wsparcie w zakresie założenia działalności gospodarczej? </w:t>
      </w:r>
      <w:r>
        <w:t xml:space="preserve">Tak </w:t>
      </w:r>
    </w:p>
    <w:p w14:paraId="4C36E277" w14:textId="77777777" w:rsidR="001A6E90" w:rsidRDefault="00752F93">
      <w:pPr>
        <w:numPr>
          <w:ilvl w:val="0"/>
          <w:numId w:val="20"/>
        </w:numPr>
        <w:spacing w:after="120" w:line="240" w:lineRule="auto"/>
        <w:ind w:right="117" w:hanging="425"/>
      </w:pPr>
      <w:r>
        <w:rPr>
          <w:b/>
        </w:rPr>
        <w:lastRenderedPageBreak/>
        <w:t xml:space="preserve">Czy o wsparcie w ramach podejmowania działalności gospodarczej może wnioskować obywatel kraju nie będącego członkiem UE? Prosimy o podanie podstawy prawnej.  </w:t>
      </w:r>
    </w:p>
    <w:p w14:paraId="709ABF7A" w14:textId="77777777" w:rsidR="001A6E90" w:rsidRDefault="00752F93">
      <w:pPr>
        <w:pStyle w:val="Nagwek2"/>
        <w:ind w:left="422"/>
      </w:pPr>
      <w:r>
        <w:t xml:space="preserve">Pytanie do ARiMR Propozycja odpowiedzi SWM </w:t>
      </w:r>
    </w:p>
    <w:p w14:paraId="7BB099C3" w14:textId="77777777" w:rsidR="001A6E90" w:rsidRDefault="00752F93">
      <w:pPr>
        <w:spacing w:after="35"/>
        <w:ind w:left="422" w:right="122"/>
      </w:pPr>
      <w:r>
        <w:t xml:space="preserve">W treści dostępnych dokumentów nie ma jednoznacznych informacji, iż osoba fizyczna, która chce wnioskować o wsparcie w ramach podejmowania działalności gospodarczej musi być obywatelem kraju będącego członkiem UE. Zgodnie z Wytycznymi szczegółowymi w zakresie przyznawania i wypłaty pomocy finansowej w ramach Planu Strategicznego dla Wspólnej Polityki Rolnej na lata 2023–2027 dla interwencji I.13.1 LEADER/Rozwój Lokalny Kierowany przez Społeczność (RLKS) – komponent Wdrażanie LSR z dnia 28 marca 2024 r. w rozdziale IV.3.2. </w:t>
      </w:r>
    </w:p>
    <w:p w14:paraId="4107C427" w14:textId="77777777" w:rsidR="001A6E90" w:rsidRDefault="00752F93">
      <w:pPr>
        <w:spacing w:after="0" w:line="284" w:lineRule="auto"/>
        <w:ind w:left="427" w:right="0" w:firstLine="0"/>
      </w:pPr>
      <w:r>
        <w:t xml:space="preserve">Dodatkowe warunki przedmiotowe dla poszczególnych zakresów wsparcia, w punkcie 2 wskazano, że w zakresie start DG </w:t>
      </w:r>
      <w:r>
        <w:rPr>
          <w:i/>
        </w:rPr>
        <w:t>pomoc przyznaje się, jeżeli operacja zakłada między innymi podjęcie we własnym imieniu działalności gospodarczej, do której stosuje się przepisy ustawy Prawo przedsiębiorców</w:t>
      </w:r>
      <w:r>
        <w:t xml:space="preserve">. Ponadto w rozdziale </w:t>
      </w:r>
    </w:p>
    <w:p w14:paraId="61FCDED0" w14:textId="77777777" w:rsidR="001A6E90" w:rsidRDefault="00752F93">
      <w:pPr>
        <w:spacing w:after="33"/>
        <w:ind w:left="422" w:right="122"/>
      </w:pPr>
      <w:r>
        <w:t xml:space="preserve">V.1. Dodatkowe warunki wypłaty pomocy dla poszczególnych zakresów wsparcia, w punkcie 2 między innymi w zakresie start DG wskazano, że </w:t>
      </w:r>
      <w:r>
        <w:rPr>
          <w:i/>
        </w:rPr>
        <w:t>pomoc wypłaca się, jeżeli beneficjent podjął we własnym imieniu działalność gospodarczą, do której stosuje się przepisy ustawy Prawo przedsiębiorców, co potwierdza zgłoszenie do CEIDG</w:t>
      </w:r>
      <w:r>
        <w:t xml:space="preserve">. Ustawa z dnia 12 marca 2022 r. o pomocy obywatelom Ukrainy w związku z konfliktem zbrojnym na terytorium tego państwa Art. 23. 1. Obywatele Ukrainy, których pobyt na terytorium Rzeczypospolitej Polskiej uznaje się za legalny na podstawie niniejszej ustawy lub ustawy z dnia 12 grudnia 2013 r. o cudzoziemcach </w:t>
      </w:r>
    </w:p>
    <w:p w14:paraId="3CFCB8D0" w14:textId="77777777" w:rsidR="001A6E90" w:rsidRDefault="00752F93">
      <w:pPr>
        <w:ind w:left="422" w:right="122"/>
      </w:pPr>
      <w:r>
        <w:t xml:space="preserve">(Dz. U. z 2021 r. poz. 2354 oraz z 2022 r. poz. 91 i 583), mogą podejmować i wykonywać działalność gospodarczą na terytorium Rzeczypospolitej Polskiej na takich samych zasadach jak obywatele polscy. </w:t>
      </w:r>
    </w:p>
    <w:p w14:paraId="464AE8F1" w14:textId="77777777" w:rsidR="001A6E90" w:rsidRDefault="00752F93">
      <w:pPr>
        <w:ind w:left="422" w:right="122"/>
      </w:pPr>
      <w:r>
        <w:t xml:space="preserve">Równocześnie zgodnie z ustawą z dnia 15 maja 2024 r. o zmianie ustawy o pomocy obywatelom Ukrainy w związku z konfliktem zbrojnym na terytorium tego państwa oraz niektórych innych ustaw jeżeli obywatel Ukrainy, o którym mowa w art. 1 ust. 1, przybył legalnie na terytorium Rzeczypospolitej Polskiej w okresie od dnia 24 lutego 2022 r. do dnia określonego w przepisach wydanych na podstawie ust. 4 i deklaruje zamiar pozostania na terytorium Rzeczypospolitej Polskiej, jego pobyt na tym terytorium uznaje się za legalny do dnia 30 września 2025 r. (…).", </w:t>
      </w:r>
    </w:p>
    <w:p w14:paraId="42D7362C" w14:textId="77777777" w:rsidR="001A6E90" w:rsidRDefault="00752F93">
      <w:pPr>
        <w:ind w:left="422" w:right="122"/>
      </w:pPr>
      <w:r>
        <w:t xml:space="preserve">Mając na uwadze powyższe według SWM należy uznać, że obywatel państw trzecich, w tym obywatel Ukrainy, który nie ma zgody na stały pobyt w PL powinien być wyłączony z listy potencjalnych beneficjentów, z uwagi na brak możliwości zachowania trwałości (związania z celem).  </w:t>
      </w:r>
    </w:p>
    <w:p w14:paraId="554620E8" w14:textId="77777777" w:rsidR="001A6E90" w:rsidRDefault="00752F93">
      <w:pPr>
        <w:numPr>
          <w:ilvl w:val="0"/>
          <w:numId w:val="21"/>
        </w:numPr>
        <w:spacing w:after="90" w:line="265" w:lineRule="auto"/>
        <w:ind w:right="117" w:hanging="360"/>
      </w:pPr>
      <w:r>
        <w:rPr>
          <w:b/>
        </w:rPr>
        <w:t xml:space="preserve">W jakich transzach będzie wypłacana dotacja na założenie działalności gospodarczej? Chodzi o podział procentowy.  </w:t>
      </w:r>
    </w:p>
    <w:p w14:paraId="7E6945D6" w14:textId="77777777" w:rsidR="001A6E90" w:rsidRDefault="00752F93">
      <w:pPr>
        <w:spacing w:after="37"/>
        <w:ind w:left="422" w:right="122"/>
      </w:pPr>
      <w:r>
        <w:t xml:space="preserve">Pomoc w zakresie „start działalności gospodarczej” przyznaje się na operację, której realizacja nastąpi w jednym etapie i będzie wypłacana w formie ryczałtu, po spełnieniu wszystkich warunków przedmiotowych dla danego zakresu pomocy. </w:t>
      </w:r>
    </w:p>
    <w:p w14:paraId="27A90F9D" w14:textId="77777777" w:rsidR="001A6E90" w:rsidRDefault="00752F93">
      <w:pPr>
        <w:spacing w:after="28"/>
        <w:ind w:left="422" w:right="122"/>
      </w:pPr>
      <w:r>
        <w:t xml:space="preserve">Pomoc na operację przyznaje się w wysokości nie wyższej niż kwota maksymalna określona przez LGD w regulaminie naboru, przy czym nie wyższej niż 150 tys. zł. Beneficjenci interwencji I.13.1 na etapie wniosku o przyznanie pomocy mogą wnioskować o wypłatę zaliczki lub wyprzedzającego finansowania. Zaliczka, o </w:t>
      </w:r>
      <w:r>
        <w:lastRenderedPageBreak/>
        <w:t xml:space="preserve">której mowa w art. 44 ust. 3 rozporządzenia 2021/2116, jest wypłacana  beneficjentowi jednorazowo lub w transzach, w wysokości nieprzekraczającej 50% kwoty przyznanej pomocy w terminie określonym w umowie o przyznaniu pomocy. </w:t>
      </w:r>
    </w:p>
    <w:p w14:paraId="1BC8D108" w14:textId="77777777" w:rsidR="001A6E90" w:rsidRDefault="00752F93">
      <w:pPr>
        <w:spacing w:after="183"/>
        <w:ind w:left="422" w:right="122"/>
      </w:pPr>
      <w:r>
        <w:t xml:space="preserve">Rozliczenie zaliczki polega na pomniejszeniu kwoty przysługującej do wypłaty na podstawie wniosku lub wniosków o płatność o kwotę przekazanych środków albo na zwrocie zaliczki przez beneficjenta, w terminach, w sposób i na warunkach określonych w umowie o przyznaniu pomocy. Wypłata kolejnych transz zaliczki nastąpi po rozliczeniu transz wcześniejszych. Warunkiem wypłaty zaliczki jest wniesienie przez beneficjenta zabezpieczenia zaliczki. Termin wniesienia zabezpieczenia określa umowa o przyznaniu pomocy. Zabezpieczenie zaliczki obejmuje całkowitą kwotę zaliczki wynikającą z umowy o przyznaniu pomocy i jest ustanawiane do dnia rozliczenia tej kwoty w formie weksla niezupełnego (in blanco) składanego wraz z deklaracją wekslową. W przypadku wyprzedzającego finansowania wysokość wypłaty nie może przekraczać 44% kwoty przyznanej pomocy, za wyjątkiem podmiotów będących JST, dla których maksymalna kwota wyprzedzającego finansowania będzie mogła wynosić 20% przyznanej kwoty pomocy.   </w:t>
      </w:r>
    </w:p>
    <w:p w14:paraId="0207CEF7" w14:textId="77777777" w:rsidR="001A6E90" w:rsidRDefault="00752F93">
      <w:pPr>
        <w:numPr>
          <w:ilvl w:val="0"/>
          <w:numId w:val="21"/>
        </w:numPr>
        <w:spacing w:after="95" w:line="265" w:lineRule="auto"/>
        <w:ind w:right="117" w:hanging="360"/>
      </w:pPr>
      <w:r>
        <w:rPr>
          <w:b/>
        </w:rPr>
        <w:t xml:space="preserve">Czy beneficjentem może być Uczniowski Klub Sportowy wpisany do ewidencji prowadzonej przez Starostwo? </w:t>
      </w:r>
    </w:p>
    <w:p w14:paraId="009B8FE8" w14:textId="77777777" w:rsidR="001A6E90" w:rsidRDefault="00752F93">
      <w:pPr>
        <w:spacing w:after="105"/>
        <w:ind w:left="422" w:right="122"/>
      </w:pPr>
      <w:r>
        <w:t xml:space="preserve">Tak. </w:t>
      </w:r>
    </w:p>
    <w:p w14:paraId="21F93F7C" w14:textId="77777777" w:rsidR="005F1EB1" w:rsidRDefault="005F1EB1">
      <w:pPr>
        <w:spacing w:after="105"/>
        <w:ind w:left="422" w:right="122"/>
      </w:pPr>
    </w:p>
    <w:p w14:paraId="4DF5C7BC" w14:textId="46CFB71F" w:rsidR="005F1EB1" w:rsidRDefault="005F1EB1" w:rsidP="005F1EB1">
      <w:pPr>
        <w:pStyle w:val="Nagwek1"/>
        <w:spacing w:after="0"/>
        <w:ind w:left="422"/>
      </w:pPr>
      <w:r>
        <w:t xml:space="preserve">Na dzień </w:t>
      </w:r>
      <w:r w:rsidR="0025601A">
        <w:t>27</w:t>
      </w:r>
      <w:r>
        <w:t>.0</w:t>
      </w:r>
      <w:r w:rsidR="0025601A">
        <w:t>9</w:t>
      </w:r>
      <w:r>
        <w:t>.2024</w:t>
      </w:r>
    </w:p>
    <w:p w14:paraId="35006386" w14:textId="77777777" w:rsidR="005F1EB1" w:rsidRPr="005F1EB1" w:rsidRDefault="005F1EB1" w:rsidP="005F1EB1"/>
    <w:p w14:paraId="1E1B5CDD" w14:textId="77777777" w:rsidR="00A101D6" w:rsidRPr="00A101D6" w:rsidRDefault="00A101D6" w:rsidP="00A101D6">
      <w:pPr>
        <w:spacing w:after="105"/>
        <w:ind w:left="422" w:right="122"/>
      </w:pPr>
      <w:r w:rsidRPr="00A101D6">
        <w:rPr>
          <w:b/>
        </w:rPr>
        <w:t xml:space="preserve">1. Czy w ramach środków EFFROW, działanie 9. Ochrona dziedzictwa kulturowego lub i przyrodniczego polskiej wsi można sfinansować w ramach projektu gwiazdę wydarzenia? </w:t>
      </w:r>
    </w:p>
    <w:p w14:paraId="1AC63F7D" w14:textId="77777777" w:rsidR="00A101D6" w:rsidRPr="00A101D6" w:rsidRDefault="00A101D6" w:rsidP="00A101D6">
      <w:pPr>
        <w:spacing w:after="105"/>
        <w:ind w:left="422" w:right="122"/>
      </w:pPr>
      <w:r w:rsidRPr="00A101D6">
        <w:t xml:space="preserve">Nie, w ramach środków EFFROW (Europejski Fundusz Rolny na rzecz Rozwoju Obszarów Wiejskich) w działaniu 9, dotyczącym ochrony dziedzictwa kulturowego lub przyrodniczego polskiej wsi, nie można sfinansować gwiazdy wydarzenia. Środki te są przeznaczone na działania mające na celu ochronę, zachowanie oraz promocję dziedzictwa kulturowego i przyrodniczego, a nie na komercyjne aspekty wydarzeń, takie jak wynajęcie znanych artystów. Finansowanie powinno być zgodne z celami programu, czyli promowaniem i zachowaniem lokalnych tradycji, historii, ochroną przyrody, a nie na działania o charakterze stricte komercyjnym. </w:t>
      </w:r>
    </w:p>
    <w:p w14:paraId="427E508A" w14:textId="77777777" w:rsidR="00A101D6" w:rsidRPr="00A101D6" w:rsidRDefault="00A101D6" w:rsidP="00A101D6">
      <w:pPr>
        <w:spacing w:after="105"/>
        <w:ind w:left="422" w:right="122"/>
      </w:pPr>
      <w:r w:rsidRPr="00A101D6">
        <w:rPr>
          <w:b/>
        </w:rPr>
        <w:t xml:space="preserve"> </w:t>
      </w:r>
    </w:p>
    <w:p w14:paraId="02E48578" w14:textId="77777777" w:rsidR="00A101D6" w:rsidRPr="00A101D6" w:rsidRDefault="00A101D6" w:rsidP="00A101D6">
      <w:pPr>
        <w:spacing w:after="105"/>
        <w:ind w:left="422" w:right="122"/>
      </w:pPr>
      <w:r w:rsidRPr="00A101D6">
        <w:rPr>
          <w:b/>
        </w:rPr>
        <w:t>2.Czy w ramach środków EFRROW, działanie</w:t>
      </w:r>
      <w:r w:rsidRPr="00A101D6">
        <w:t xml:space="preserve"> </w:t>
      </w:r>
      <w:r w:rsidRPr="00A101D6">
        <w:rPr>
          <w:b/>
        </w:rPr>
        <w:t xml:space="preserve">6. Poprawa dostępu do małej infrastruktury publicznej można wybudować windę przy publicznej szkole podstawowej? </w:t>
      </w:r>
    </w:p>
    <w:p w14:paraId="13E0FD13" w14:textId="77777777" w:rsidR="00A101D6" w:rsidRPr="00A101D6" w:rsidRDefault="00A101D6" w:rsidP="00A101D6">
      <w:pPr>
        <w:spacing w:after="105"/>
        <w:ind w:left="422" w:right="122"/>
      </w:pPr>
      <w:r w:rsidRPr="00A101D6">
        <w:t xml:space="preserve">Zgodnie z zapisami Wytycznej szczegółowej w zakresie przyznawania i wypłaty pomocy finansowej w ramach PS WPR na lata 2023-2027 dla interwencji I.13.1 LEADER pomoc w zakresie dostępu do małej infrastruktury publicznej przyznaje się, jeżeli operacja służy zaspokajaniu potrzeb społeczności lokalnej oraz infrastruktura będąca efektem tej inwestycji jest ogólnodostępna i niekomercyjna lub obejmuje obiekty użyteczności publicznej, a koszty całkowite operacji nie przekraczają 1 mln euro. </w:t>
      </w:r>
    </w:p>
    <w:p w14:paraId="39598963" w14:textId="77777777" w:rsidR="00A101D6" w:rsidRPr="00A101D6" w:rsidRDefault="00A101D6" w:rsidP="00A101D6">
      <w:pPr>
        <w:spacing w:after="105"/>
        <w:ind w:left="422" w:right="122"/>
      </w:pPr>
      <w:r w:rsidRPr="00A101D6">
        <w:lastRenderedPageBreak/>
        <w:t xml:space="preserve">Istotą tego zakresu jest poszerzenie oferty dla społeczności lokalnej  poprzez zapewnienie dostępu do większej niż dotychczas oferty kierowanej do społeczności lokalnej w zakresie infrastruktury kulturalnej, turystycznej, rekreacyjnej lub sportowej nie zaś dostępność w myśl rozumienia przepisów dotyczących Karty Praw Podstawowych i Konwencji o prawach osób niepełnosprawnych.  Może to być jeden większy obiekt lub zbiór mniejszych obiektów infrastruktury pod warunkiem, że koszty całkowite operacji nie przekroczą 1 mln euro. Nadmieniam, iż w celu przyznania pomocy kierunek rozwoju danego obszaru w tym zakresie musi być oparty o diagnozę  potrzeb na obszarze objętym LSR i następnie wskazany w tym dokumencie będącym podstawą działania. </w:t>
      </w:r>
    </w:p>
    <w:p w14:paraId="3AF87062" w14:textId="77777777" w:rsidR="00A101D6" w:rsidRPr="00A101D6" w:rsidRDefault="00A101D6" w:rsidP="00A101D6">
      <w:pPr>
        <w:spacing w:after="105"/>
        <w:ind w:left="422" w:right="122"/>
      </w:pPr>
      <w:r w:rsidRPr="00A101D6">
        <w:t xml:space="preserve">Dodatkowo, warunkiem obowiązującym we wszystkich zakresach pomocy, jest warunek o nieprzyznawaniu pomocy na operacje obejmujące budowę lub modernizację dróg w zrozumieniu art. 4 ustawy z dnia 21 marca 1985 r. o drogach publicznych, targowisk, sieci wodno-kanalizacyjnych, przydomowych oczyszczalni ścieków, oraz operacje dotyczące świadczenia usług rolniczych.  </w:t>
      </w:r>
    </w:p>
    <w:p w14:paraId="67FC3C23" w14:textId="77777777" w:rsidR="00A101D6" w:rsidRPr="00A101D6" w:rsidRDefault="00A101D6" w:rsidP="00A101D6">
      <w:pPr>
        <w:spacing w:after="105"/>
        <w:ind w:left="422" w:right="122"/>
      </w:pPr>
      <w:r w:rsidRPr="00A101D6">
        <w:t xml:space="preserve">Mając na uwadze powyższe taka operacja nie będzie mogła być </w:t>
      </w:r>
      <w:proofErr w:type="spellStart"/>
      <w:r w:rsidRPr="00A101D6">
        <w:t>sfinansoowana</w:t>
      </w:r>
      <w:proofErr w:type="spellEnd"/>
      <w:r w:rsidRPr="00A101D6">
        <w:t xml:space="preserve"> w ramach przedmiotowego zakresu, natomiast budynek szkoły nie spełnia warunków ogólnodostępności i nie stanowi małej infrastruktury publicznej. </w:t>
      </w:r>
    </w:p>
    <w:p w14:paraId="529BF111" w14:textId="77777777" w:rsidR="00A101D6" w:rsidRPr="00A101D6" w:rsidRDefault="00A101D6" w:rsidP="00A101D6">
      <w:pPr>
        <w:spacing w:after="105"/>
        <w:ind w:left="422" w:right="122"/>
      </w:pPr>
      <w:r w:rsidRPr="00A101D6">
        <w:rPr>
          <w:b/>
        </w:rPr>
        <w:t xml:space="preserve">3.Czy w ramach środków EFRROW, działanie 6. Poprawa dostępu do małej infrastruktury publicznej można wykonać: </w:t>
      </w:r>
    </w:p>
    <w:p w14:paraId="437BF7A9" w14:textId="77777777" w:rsidR="00A101D6" w:rsidRPr="00A101D6" w:rsidRDefault="00A101D6" w:rsidP="00A101D6">
      <w:pPr>
        <w:spacing w:after="105"/>
        <w:ind w:left="422" w:right="122"/>
      </w:pPr>
      <w:r w:rsidRPr="00A101D6">
        <w:rPr>
          <w:b/>
        </w:rPr>
        <w:t xml:space="preserve"> </w:t>
      </w:r>
    </w:p>
    <w:p w14:paraId="05D8EA1C" w14:textId="77777777" w:rsidR="00A101D6" w:rsidRPr="00A101D6" w:rsidRDefault="00A101D6" w:rsidP="00A101D6">
      <w:pPr>
        <w:numPr>
          <w:ilvl w:val="0"/>
          <w:numId w:val="35"/>
        </w:numPr>
        <w:spacing w:after="105"/>
        <w:ind w:right="122"/>
      </w:pPr>
      <w:r w:rsidRPr="00A101D6">
        <w:rPr>
          <w:b/>
        </w:rPr>
        <w:t xml:space="preserve">oświetlenie solarne? </w:t>
      </w:r>
    </w:p>
    <w:p w14:paraId="6D99F43C" w14:textId="77777777" w:rsidR="00A101D6" w:rsidRPr="00A101D6" w:rsidRDefault="00A101D6" w:rsidP="00A101D6">
      <w:pPr>
        <w:spacing w:after="105"/>
        <w:ind w:left="422" w:right="122"/>
      </w:pPr>
      <w:r w:rsidRPr="00A101D6">
        <w:t xml:space="preserve">Co do zasady, w ramach środków EFRROW (Europejski Fundusz Rolny na rzecz Rozwoju Obszarów Wiejskich), działanie 6. Poprawa dostępu do małej infrastruktury publicznej, możliwe jest sfinansowanie instalacji oświetlenia solarnego. Należy jednak pamiętać o warunku wskazanym w Wytycznej szczegółowej w zakresie przyznawania i wypłaty pomocy finansowej w ramach PS WPR na lata 2023-2027 dla interwencji I.13.1 LEADER tj. „W przypadku operacji, która obejmuje koszty zakupu i instalacji odnawialnych źródeł energii, pomoc przyznaje się, jeżeli suma planowanych do poniesienia kosztów dotyczących odnawialnych źródeł energii nie przekracza połowy wszystkich kosztów kwalifikowalnych”. Z zapisu tego wynika, iż projekt nie może polegać wyłącznie na wykonaniu instalacji solarnej. </w:t>
      </w:r>
    </w:p>
    <w:p w14:paraId="463B8740" w14:textId="77777777" w:rsidR="00A101D6" w:rsidRPr="00A101D6" w:rsidRDefault="00A101D6" w:rsidP="00A101D6">
      <w:pPr>
        <w:spacing w:after="105"/>
        <w:ind w:left="422" w:right="122"/>
      </w:pPr>
      <w:r w:rsidRPr="00A101D6">
        <w:rPr>
          <w:b/>
        </w:rPr>
        <w:t xml:space="preserve"> </w:t>
      </w:r>
    </w:p>
    <w:p w14:paraId="74C079FD" w14:textId="77777777" w:rsidR="00A101D6" w:rsidRPr="00A101D6" w:rsidRDefault="00A101D6" w:rsidP="00A101D6">
      <w:pPr>
        <w:numPr>
          <w:ilvl w:val="0"/>
          <w:numId w:val="35"/>
        </w:numPr>
        <w:spacing w:after="105"/>
        <w:ind w:right="122"/>
      </w:pPr>
      <w:r w:rsidRPr="00A101D6">
        <w:rPr>
          <w:b/>
        </w:rPr>
        <w:t xml:space="preserve">wiatę rowerową z elementami solarnymi? </w:t>
      </w:r>
    </w:p>
    <w:p w14:paraId="1714D3A7" w14:textId="77777777" w:rsidR="00A101D6" w:rsidRPr="00A101D6" w:rsidRDefault="00A101D6" w:rsidP="00A101D6">
      <w:pPr>
        <w:spacing w:after="105"/>
        <w:ind w:left="422" w:right="122"/>
      </w:pPr>
      <w:r w:rsidRPr="00A101D6">
        <w:t xml:space="preserve">Biorąc pod uwagę odpowiedź wskazaną w podpunkcie a) w ramach środków EFRROW (Europejski Fundusz Rolny na rzecz Rozwoju Obszarów Wiejskich), działanie 6. Poprawa dostępu do małej infrastruktury publicznej, możliwe jest sfinansowanie budowy wiaty rowerowej z elementami solarnymi, o ile projekt spełnia określone kryteria. Działanie 6 obejmuje inwestycje mające na celu poprawę jakości życia na obszarach wiejskich oraz rozwój lokalnej infrastruktury, co może obejmować instalacje wspierające zrównoważony transport, takie jak wiaty rowerowe. Elementy solarne, które mogą np. zasilać oświetlenie lub ładowarki do urządzeń mobilnych, wpisują się w cele związane z efektywnością energetyczną i zrównoważonym rozwojem. Należy pamiętać, że suma </w:t>
      </w:r>
      <w:r w:rsidRPr="00A101D6">
        <w:lastRenderedPageBreak/>
        <w:t xml:space="preserve">planowanych do poniesienia kosztów dotyczących odnawialnych źródeł energii nie może przekraczać połowy wszystkich kosztów kwalifikowalnych. </w:t>
      </w:r>
    </w:p>
    <w:p w14:paraId="15086126" w14:textId="77777777" w:rsidR="00A101D6" w:rsidRPr="00A101D6" w:rsidRDefault="00A101D6" w:rsidP="00A101D6">
      <w:pPr>
        <w:spacing w:after="105"/>
        <w:ind w:left="422" w:right="122"/>
      </w:pPr>
      <w:r w:rsidRPr="00A101D6">
        <w:t xml:space="preserve">Równocześnie ponownie należy zwrócić uwagę na zapisy w Lokalnej Strategii </w:t>
      </w:r>
    </w:p>
    <w:p w14:paraId="7D839A1C" w14:textId="77777777" w:rsidR="00A101D6" w:rsidRPr="00A101D6" w:rsidRDefault="00A101D6" w:rsidP="00A101D6">
      <w:pPr>
        <w:spacing w:after="105"/>
        <w:ind w:left="422" w:right="122"/>
      </w:pPr>
      <w:r w:rsidRPr="00A101D6">
        <w:t xml:space="preserve">Rozwoju. </w:t>
      </w:r>
    </w:p>
    <w:p w14:paraId="438A579A" w14:textId="3216CF63" w:rsidR="00A101D6" w:rsidRPr="00A101D6" w:rsidRDefault="00A101D6" w:rsidP="00A101D6">
      <w:pPr>
        <w:spacing w:after="105"/>
        <w:ind w:left="422" w:right="122"/>
      </w:pPr>
    </w:p>
    <w:p w14:paraId="2D4F8989" w14:textId="77777777" w:rsidR="00A101D6" w:rsidRPr="00A101D6" w:rsidRDefault="00A101D6" w:rsidP="00A101D6">
      <w:pPr>
        <w:spacing w:after="105"/>
        <w:ind w:left="422" w:right="122"/>
        <w:rPr>
          <w:b/>
        </w:rPr>
      </w:pPr>
      <w:r w:rsidRPr="00A101D6">
        <w:rPr>
          <w:b/>
        </w:rPr>
        <w:t xml:space="preserve">Ogólne </w:t>
      </w:r>
    </w:p>
    <w:p w14:paraId="5F5C1766" w14:textId="77777777" w:rsidR="00A101D6" w:rsidRPr="00A101D6" w:rsidRDefault="00A101D6" w:rsidP="00A101D6">
      <w:pPr>
        <w:numPr>
          <w:ilvl w:val="0"/>
          <w:numId w:val="36"/>
        </w:numPr>
        <w:spacing w:after="105"/>
        <w:ind w:right="122"/>
      </w:pPr>
      <w:r w:rsidRPr="00A101D6">
        <w:rPr>
          <w:b/>
        </w:rPr>
        <w:t xml:space="preserve">Czy w ramach środków EFS+, EFRR oraz EFRROW można realizować operacje w miejscach gdzie jest trwałość projektu np. z RPO? </w:t>
      </w:r>
    </w:p>
    <w:p w14:paraId="6AFA7A98" w14:textId="77777777" w:rsidR="00A101D6" w:rsidRPr="00A101D6" w:rsidRDefault="00A101D6" w:rsidP="00A101D6">
      <w:pPr>
        <w:spacing w:after="105"/>
        <w:ind w:left="422" w:right="122"/>
      </w:pPr>
      <w:r w:rsidRPr="00A101D6">
        <w:t>Operacje realizowane przez LGD winny być spójne z zapisami LSR dla danego LGD. Miejsca realizacji operacji określone są bezpośrednio w umowach o warunkach i sposobie realizacji strategii rozwoju lokalnego kierowanego przez społeczność (umowa ramowa) oraz powinny być spójne z zapisami Regulaminów naborów, Kryteriami wyboru.  Mając na uwadze powyższe, miejscem realizacji operacji w ramach środków EFS +, EFRR oraz EFRROW zawsze będzie obszar Gmin lub ich części, dzielnic i osiedli objętych LSR. Wobec powyższego, jeśli spełniony zostanie ww. warunek, z perspektywy wdrażania i realizacji programów PSWPR, programu regionalnego Fundusze Europejskie dla Małopolski 2021 -2027 (FEM 2021-2027) ze środków funduszy EFRROW, EFRR, EFS+, „trwałość” innych projektów nie powinna stanowić przeszkody do podjęcia nowej operacji w tym samym miejscu, z zastrzeżeniem, że planowany zakres nie naruszy/nie będzie kolidował z dofinansowaną dotychczas „inwestycją”, w tym z zapisami dokumentów RPO w ramach których zrealizowana została operacja. W związku z powyższym w pierwszej kolejności należałoby zweryfikować zapisy umowy o przyznaniu pomocy dotyczącej projektu realizowanego z RPO, czy dopuszcza tego typu sytuację. Kluczowe jest</w:t>
      </w:r>
      <w:r w:rsidRPr="00A101D6">
        <w:rPr>
          <w:b/>
        </w:rPr>
        <w:t>, aby po zakończeniu realizacji, projekt zachował przyjęte i opisane we wniosku o dofinansowanie założenia we wskazanym czasie, tj. w okresie jego trwałości.</w:t>
      </w:r>
      <w:r w:rsidRPr="00A101D6">
        <w:t xml:space="preserve">  </w:t>
      </w:r>
    </w:p>
    <w:p w14:paraId="263E118E" w14:textId="77777777" w:rsidR="00A101D6" w:rsidRPr="00A101D6" w:rsidRDefault="00A101D6" w:rsidP="00A101D6">
      <w:pPr>
        <w:spacing w:after="105"/>
        <w:ind w:left="422" w:right="122"/>
      </w:pPr>
      <w:r w:rsidRPr="00A101D6">
        <w:rPr>
          <w:b/>
        </w:rPr>
        <w:t xml:space="preserve"> </w:t>
      </w:r>
    </w:p>
    <w:p w14:paraId="363443A3" w14:textId="77777777" w:rsidR="00A101D6" w:rsidRPr="00A101D6" w:rsidRDefault="00A101D6" w:rsidP="00A101D6">
      <w:pPr>
        <w:numPr>
          <w:ilvl w:val="0"/>
          <w:numId w:val="36"/>
        </w:numPr>
        <w:spacing w:after="105"/>
        <w:ind w:right="122"/>
      </w:pPr>
      <w:r w:rsidRPr="00A101D6">
        <w:rPr>
          <w:b/>
        </w:rPr>
        <w:t xml:space="preserve">Czy można łączyć dofinansowanie EFS+/EFRR/EFRROW z innymi środkami np. PEFRON? </w:t>
      </w:r>
    </w:p>
    <w:p w14:paraId="0E138FE5" w14:textId="77777777" w:rsidR="00A101D6" w:rsidRPr="00A101D6" w:rsidRDefault="00A101D6" w:rsidP="00A101D6">
      <w:pPr>
        <w:spacing w:after="105"/>
        <w:ind w:left="422" w:right="122"/>
      </w:pPr>
      <w:r w:rsidRPr="00A101D6">
        <w:t xml:space="preserve"> </w:t>
      </w:r>
    </w:p>
    <w:p w14:paraId="2761CE88" w14:textId="66E82809" w:rsidR="00A101D6" w:rsidRPr="00A101D6" w:rsidRDefault="00A101D6" w:rsidP="00752F93">
      <w:pPr>
        <w:spacing w:after="105"/>
        <w:ind w:left="422" w:right="122"/>
      </w:pPr>
      <w:r w:rsidRPr="00A101D6">
        <w:t xml:space="preserve">Beneficjent zobowiązany jest do spełnienia warunków określonych m.in. w PSWPR, przepisach ustawy, Regulaminie, w Wytycznych podstawowych i szczegółowych oraz realizacji operacji zgodnie z postanowieniami Umowy, a w szczególności do </w:t>
      </w:r>
      <w:r w:rsidRPr="00A101D6">
        <w:rPr>
          <w:b/>
        </w:rPr>
        <w:t xml:space="preserve">niefinansowania kosztów kwalifikowalnych operacji z udziałem innych środków publicznych. </w:t>
      </w:r>
      <w:r w:rsidRPr="00A101D6">
        <w:t xml:space="preserve">Z powyższego wynika, że nie ma możliwości łączenia dofinansowania EFRROW z innymi środkami finansowymi.   </w:t>
      </w:r>
    </w:p>
    <w:p w14:paraId="6E3D0B8C" w14:textId="77777777" w:rsidR="00A101D6" w:rsidRPr="00A101D6" w:rsidRDefault="00A101D6" w:rsidP="00A101D6">
      <w:pPr>
        <w:spacing w:after="105"/>
        <w:ind w:left="422" w:right="122"/>
      </w:pPr>
      <w:r w:rsidRPr="00A101D6">
        <w:t xml:space="preserve">W przypadku dofinansowania projektów ze środków EFS +, EFRR zgodnie z wytycznymi </w:t>
      </w:r>
      <w:proofErr w:type="spellStart"/>
      <w:r w:rsidRPr="00A101D6">
        <w:t>MFiPR</w:t>
      </w:r>
      <w:proofErr w:type="spellEnd"/>
      <w:r w:rsidRPr="00A101D6">
        <w:t xml:space="preserve"> dotyczącymi kwalifikowalności wydatków na lata 2021-2027 z dnia 18 listopada 2022 r. niedozwolone jest podwójne finansowanie wydatków. Oznacza to w szczególności: </w:t>
      </w:r>
    </w:p>
    <w:p w14:paraId="36F0F963" w14:textId="77777777" w:rsidR="00A101D6" w:rsidRPr="00A101D6" w:rsidRDefault="00A101D6" w:rsidP="00A101D6">
      <w:pPr>
        <w:numPr>
          <w:ilvl w:val="0"/>
          <w:numId w:val="37"/>
        </w:numPr>
        <w:spacing w:after="105"/>
        <w:ind w:right="122"/>
      </w:pPr>
      <w:r w:rsidRPr="00A101D6">
        <w:t xml:space="preserve">więcej niż jednokrotne przedstawienie do rozliczenia tego samego wydatku albo tej samej części wydatku ze środków UE w jakiejkolwiek formie (w szczególności dotacji, pożyczki, gwarancji/poręczenia), </w:t>
      </w:r>
    </w:p>
    <w:p w14:paraId="559C2ACC" w14:textId="77777777" w:rsidR="00A101D6" w:rsidRPr="00A101D6" w:rsidRDefault="00A101D6" w:rsidP="00A101D6">
      <w:pPr>
        <w:numPr>
          <w:ilvl w:val="0"/>
          <w:numId w:val="37"/>
        </w:numPr>
        <w:spacing w:after="105"/>
        <w:ind w:right="122"/>
      </w:pPr>
      <w:r w:rsidRPr="00A101D6">
        <w:lastRenderedPageBreak/>
        <w:t xml:space="preserve">otrzymanie na wydatki kwalifikowalne danego projektu lub części projektu dotacji z kilku źródeł (krajowych, unijnych lub innych) w wysokości łącznie </w:t>
      </w:r>
      <w:r w:rsidRPr="00A101D6">
        <w:rPr>
          <w:b/>
        </w:rPr>
        <w:t xml:space="preserve">wyższej niż 100% wydatków kwalifikowalnych projektu lub części projektu. </w:t>
      </w:r>
    </w:p>
    <w:p w14:paraId="6322BA29" w14:textId="77777777" w:rsidR="00A101D6" w:rsidRPr="00A101D6" w:rsidRDefault="00A101D6" w:rsidP="00A101D6">
      <w:pPr>
        <w:spacing w:after="105"/>
        <w:ind w:left="422" w:right="122"/>
      </w:pPr>
      <w:r w:rsidRPr="00A101D6">
        <w:t xml:space="preserve">W przypadku EFRR maksymalny poziom dofinansowania projektu wynosi </w:t>
      </w:r>
      <w:r w:rsidRPr="00A101D6">
        <w:rPr>
          <w:b/>
        </w:rPr>
        <w:t>85,00%</w:t>
      </w:r>
      <w:r w:rsidRPr="00A101D6">
        <w:t xml:space="preserve"> jego kosztów kwalifikowalnych, natomiast w przypadku EFS + poziom dofinansowania wynosi maksymalnie </w:t>
      </w:r>
      <w:r w:rsidRPr="00A101D6">
        <w:rPr>
          <w:b/>
        </w:rPr>
        <w:t>95,00%.</w:t>
      </w:r>
      <w:r w:rsidRPr="00A101D6">
        <w:t xml:space="preserve"> </w:t>
      </w:r>
    </w:p>
    <w:p w14:paraId="0CF9BDD3" w14:textId="5C98A469" w:rsidR="00A101D6" w:rsidRPr="00A101D6" w:rsidRDefault="00A101D6" w:rsidP="00752F93">
      <w:pPr>
        <w:spacing w:after="105"/>
        <w:ind w:left="422" w:right="122"/>
      </w:pPr>
      <w:r w:rsidRPr="00A101D6">
        <w:t xml:space="preserve"> </w:t>
      </w:r>
    </w:p>
    <w:p w14:paraId="63F3F894" w14:textId="77777777" w:rsidR="00A101D6" w:rsidRPr="00A101D6" w:rsidRDefault="00A101D6" w:rsidP="00A101D6">
      <w:pPr>
        <w:numPr>
          <w:ilvl w:val="0"/>
          <w:numId w:val="38"/>
        </w:numPr>
        <w:spacing w:after="105"/>
        <w:ind w:right="122"/>
      </w:pPr>
      <w:r w:rsidRPr="00A101D6">
        <w:rPr>
          <w:b/>
        </w:rPr>
        <w:t xml:space="preserve">Jakie </w:t>
      </w:r>
      <w:proofErr w:type="spellStart"/>
      <w:r w:rsidRPr="00A101D6">
        <w:rPr>
          <w:b/>
        </w:rPr>
        <w:t>ologowanie</w:t>
      </w:r>
      <w:proofErr w:type="spellEnd"/>
      <w:r w:rsidRPr="00A101D6">
        <w:rPr>
          <w:b/>
        </w:rPr>
        <w:t xml:space="preserve"> powinniśmy stosować w materiałach/pismach w przypadku, gdy dotyczy ono tylko jednego funduszu? Czy na stałe we wszystkich dokumentach bez względu, którego funduszu dotyczy możliwe jest stosowanie paska logotypu dla LSR wielofunduszowej? Np. pismo dotyczy programu EFS+ i zastosowaliśmy w nim pasek logotypu wielofunduszowego (który zawiera również logo PS WPR) – czy taka forma jest poprawna? </w:t>
      </w:r>
      <w:r w:rsidRPr="00A101D6">
        <w:t xml:space="preserve">Zgodnie z Księgą Wizualizacji Logo Planu Strategicznego Dla Wspólnej Polityki Rolnej Na Lata 2023-2027, ogólne zasady oznaczania działań informacyjnych i promocyjnych realizowane przez beneficjenta w formie materiałów przedstawianych do publicznej wiadomości, które finansowane są z więcej niż jednego funduszu – w tym z EFRROW, są oznaczone przy pomocy następujących elementów: </w:t>
      </w:r>
    </w:p>
    <w:p w14:paraId="2194370F" w14:textId="77777777" w:rsidR="00A101D6" w:rsidRPr="00A101D6" w:rsidRDefault="00A101D6" w:rsidP="00A101D6">
      <w:pPr>
        <w:numPr>
          <w:ilvl w:val="1"/>
          <w:numId w:val="38"/>
        </w:numPr>
        <w:spacing w:after="105"/>
        <w:ind w:right="122"/>
      </w:pPr>
      <w:r w:rsidRPr="00A101D6">
        <w:t xml:space="preserve">znaku Fundusze Europejskie (dla Małopolski) </w:t>
      </w:r>
      <w:r w:rsidRPr="00A101D6">
        <w:t xml:space="preserve"> Flagi RP </w:t>
      </w:r>
    </w:p>
    <w:p w14:paraId="4E110680" w14:textId="77777777" w:rsidR="00A101D6" w:rsidRPr="00A101D6" w:rsidRDefault="00A101D6" w:rsidP="00A101D6">
      <w:pPr>
        <w:numPr>
          <w:ilvl w:val="1"/>
          <w:numId w:val="38"/>
        </w:numPr>
        <w:spacing w:after="105"/>
        <w:ind w:right="122"/>
      </w:pPr>
      <w:r w:rsidRPr="00A101D6">
        <w:t xml:space="preserve">symbolu UE z umieszczonym obok zdaniem „Finansowane przez Unię Europejską” lub „Dofinansowane przez Unię Europejską” </w:t>
      </w:r>
    </w:p>
    <w:p w14:paraId="7E334459" w14:textId="77777777" w:rsidR="00A101D6" w:rsidRPr="00A101D6" w:rsidRDefault="00A101D6" w:rsidP="00A101D6">
      <w:pPr>
        <w:numPr>
          <w:ilvl w:val="1"/>
          <w:numId w:val="38"/>
        </w:numPr>
        <w:spacing w:after="105"/>
        <w:ind w:right="122"/>
      </w:pPr>
      <w:r w:rsidRPr="00A101D6">
        <w:t xml:space="preserve">logo PS WPR 2023-2027 oddzielone pionową kreską (wysokość linii rozdzielającej równa jest wysokości flagi UE). </w:t>
      </w:r>
    </w:p>
    <w:p w14:paraId="0FD20119" w14:textId="77777777" w:rsidR="00A101D6" w:rsidRPr="00A101D6" w:rsidRDefault="00A101D6" w:rsidP="00A101D6">
      <w:pPr>
        <w:spacing w:after="105"/>
        <w:ind w:left="422" w:right="122"/>
      </w:pPr>
      <w:r w:rsidRPr="00A101D6">
        <w:t xml:space="preserve"> </w:t>
      </w:r>
    </w:p>
    <w:p w14:paraId="0680CBD1" w14:textId="77777777" w:rsidR="00A101D6" w:rsidRPr="00A101D6" w:rsidRDefault="00A101D6" w:rsidP="00A101D6">
      <w:pPr>
        <w:spacing w:after="105"/>
        <w:ind w:left="422" w:right="122"/>
      </w:pPr>
      <w:r w:rsidRPr="00A101D6">
        <w:t xml:space="preserve">Ponieważ działania Lokalnych Grup Działania są finansowane w ramach trzech funduszy (w tym z EFRROW), wszelkie działania informacyjno-promocyjne powinny zostać opatrzone poniższym paskiem logotypów: </w:t>
      </w:r>
    </w:p>
    <w:p w14:paraId="1617B917" w14:textId="77777777" w:rsidR="00A101D6" w:rsidRPr="00A101D6" w:rsidRDefault="00A101D6" w:rsidP="00A101D6">
      <w:pPr>
        <w:spacing w:after="105"/>
        <w:ind w:left="422" w:right="122"/>
      </w:pPr>
      <w:r w:rsidRPr="00A101D6">
        <w:rPr>
          <w:noProof/>
        </w:rPr>
        <w:drawing>
          <wp:inline distT="0" distB="0" distL="0" distR="0" wp14:anchorId="53A3F4FF" wp14:editId="32936680">
            <wp:extent cx="5753100" cy="752475"/>
            <wp:effectExtent l="0" t="0" r="0" b="0"/>
            <wp:docPr id="3162" name="Picture 3162" descr="Obraz zawierający tekst, zrzut ekranu, Czcionka, linia&#10;&#10;Opis wygenerowany automatycznie"/>
            <wp:cNvGraphicFramePr/>
            <a:graphic xmlns:a="http://schemas.openxmlformats.org/drawingml/2006/main">
              <a:graphicData uri="http://schemas.openxmlformats.org/drawingml/2006/picture">
                <pic:pic xmlns:pic="http://schemas.openxmlformats.org/drawingml/2006/picture">
                  <pic:nvPicPr>
                    <pic:cNvPr id="3162" name="Picture 3162" descr="Obraz zawierający tekst, zrzut ekranu, Czcionka, linia&#10;&#10;Opis wygenerowany automatycznie"/>
                    <pic:cNvPicPr/>
                  </pic:nvPicPr>
                  <pic:blipFill>
                    <a:blip r:embed="rId8"/>
                    <a:stretch>
                      <a:fillRect/>
                    </a:stretch>
                  </pic:blipFill>
                  <pic:spPr>
                    <a:xfrm>
                      <a:off x="0" y="0"/>
                      <a:ext cx="5753100" cy="752475"/>
                    </a:xfrm>
                    <a:prstGeom prst="rect">
                      <a:avLst/>
                    </a:prstGeom>
                  </pic:spPr>
                </pic:pic>
              </a:graphicData>
            </a:graphic>
          </wp:inline>
        </w:drawing>
      </w:r>
      <w:r w:rsidRPr="00A101D6">
        <w:t xml:space="preserve"> </w:t>
      </w:r>
    </w:p>
    <w:p w14:paraId="2724689F" w14:textId="77777777" w:rsidR="00A101D6" w:rsidRPr="00A101D6" w:rsidRDefault="00A101D6" w:rsidP="00A101D6">
      <w:pPr>
        <w:spacing w:after="105"/>
        <w:ind w:left="422" w:right="122"/>
      </w:pPr>
      <w:r w:rsidRPr="00A101D6">
        <w:t xml:space="preserve"> </w:t>
      </w:r>
    </w:p>
    <w:p w14:paraId="3ACE5741" w14:textId="77777777" w:rsidR="00A101D6" w:rsidRPr="00A101D6" w:rsidRDefault="00A101D6" w:rsidP="00A101D6">
      <w:pPr>
        <w:spacing w:after="105"/>
        <w:ind w:left="422" w:right="122"/>
      </w:pPr>
      <w:r w:rsidRPr="00A101D6">
        <w:t xml:space="preserve">Takie zestawienie znaków będzie zatem prawidłowe, niezależnie od tego, którego z funduszy dotyczy konkretne działanie realizowane przez LGD. </w:t>
      </w:r>
    </w:p>
    <w:p w14:paraId="04BCA21D" w14:textId="2411738F" w:rsidR="00A101D6" w:rsidRPr="00A101D6" w:rsidRDefault="00A101D6" w:rsidP="00A101D6">
      <w:pPr>
        <w:spacing w:after="105"/>
        <w:ind w:left="422" w:right="122"/>
      </w:pPr>
    </w:p>
    <w:p w14:paraId="4A7D6496" w14:textId="77777777" w:rsidR="00A101D6" w:rsidRDefault="00A101D6">
      <w:pPr>
        <w:spacing w:after="105"/>
        <w:ind w:left="422" w:right="122"/>
      </w:pPr>
    </w:p>
    <w:p w14:paraId="6AEC7745" w14:textId="77777777" w:rsidR="001A6E90" w:rsidRDefault="00752F93">
      <w:pPr>
        <w:spacing w:after="247" w:line="259" w:lineRule="auto"/>
        <w:ind w:left="427" w:right="0" w:firstLine="0"/>
      </w:pPr>
      <w:r>
        <w:rPr>
          <w:b/>
        </w:rPr>
        <w:t xml:space="preserve"> </w:t>
      </w:r>
    </w:p>
    <w:p w14:paraId="37101CE0" w14:textId="5572F478" w:rsidR="001A6E90" w:rsidRDefault="001A6E90">
      <w:pPr>
        <w:spacing w:after="180" w:line="259" w:lineRule="auto"/>
        <w:ind w:left="427" w:right="0" w:firstLine="0"/>
      </w:pPr>
    </w:p>
    <w:p w14:paraId="0BDE45CB" w14:textId="17680F65" w:rsidR="001A6E90" w:rsidRDefault="001A6E90">
      <w:pPr>
        <w:ind w:left="422" w:right="122"/>
      </w:pPr>
    </w:p>
    <w:sectPr w:rsidR="001A6E90">
      <w:footerReference w:type="even" r:id="rId9"/>
      <w:footerReference w:type="default" r:id="rId10"/>
      <w:footerReference w:type="first" r:id="rId11"/>
      <w:pgSz w:w="11906" w:h="16838"/>
      <w:pgMar w:top="982" w:right="1415" w:bottom="1435" w:left="1133"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00601" w14:textId="77777777" w:rsidR="00752F93" w:rsidRDefault="00752F93">
      <w:pPr>
        <w:spacing w:after="0" w:line="240" w:lineRule="auto"/>
      </w:pPr>
      <w:r>
        <w:separator/>
      </w:r>
    </w:p>
  </w:endnote>
  <w:endnote w:type="continuationSeparator" w:id="0">
    <w:p w14:paraId="1B7DEAD2" w14:textId="77777777" w:rsidR="00752F93" w:rsidRDefault="00752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57A6A" w14:textId="77777777" w:rsidR="001A6E90" w:rsidRDefault="00752F93">
    <w:pPr>
      <w:spacing w:after="0" w:line="259" w:lineRule="auto"/>
      <w:ind w:left="427"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045FDA4" w14:textId="77777777" w:rsidR="001A6E90" w:rsidRDefault="00752F93">
    <w:pPr>
      <w:spacing w:after="0" w:line="259" w:lineRule="auto"/>
      <w:ind w:left="427"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E4822" w14:textId="77777777" w:rsidR="001A6E90" w:rsidRDefault="00752F93">
    <w:pPr>
      <w:spacing w:after="0" w:line="259" w:lineRule="auto"/>
      <w:ind w:left="427"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2A22E1F" w14:textId="77777777" w:rsidR="001A6E90" w:rsidRDefault="00752F93">
    <w:pPr>
      <w:spacing w:after="0" w:line="259" w:lineRule="auto"/>
      <w:ind w:left="427" w:righ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A5142" w14:textId="77777777" w:rsidR="001A6E90" w:rsidRDefault="00752F93">
    <w:pPr>
      <w:spacing w:after="0" w:line="259" w:lineRule="auto"/>
      <w:ind w:left="427"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77C5C7E" w14:textId="77777777" w:rsidR="001A6E90" w:rsidRDefault="00752F93">
    <w:pPr>
      <w:spacing w:after="0" w:line="259" w:lineRule="auto"/>
      <w:ind w:left="427"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92549" w14:textId="77777777" w:rsidR="00752F93" w:rsidRDefault="00752F93">
      <w:pPr>
        <w:spacing w:after="0" w:line="240" w:lineRule="auto"/>
      </w:pPr>
      <w:r>
        <w:separator/>
      </w:r>
    </w:p>
  </w:footnote>
  <w:footnote w:type="continuationSeparator" w:id="0">
    <w:p w14:paraId="24CDF347" w14:textId="77777777" w:rsidR="00752F93" w:rsidRDefault="00752F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2146F"/>
    <w:multiLevelType w:val="hybridMultilevel"/>
    <w:tmpl w:val="3C027AEC"/>
    <w:lvl w:ilvl="0" w:tplc="19B6D86E">
      <w:start w:val="1"/>
      <w:numFmt w:val="bullet"/>
      <w:lvlText w:val=""/>
      <w:lvlJc w:val="left"/>
      <w:pPr>
        <w:ind w:left="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8D88446">
      <w:start w:val="1"/>
      <w:numFmt w:val="decimal"/>
      <w:lvlText w:val="%2)"/>
      <w:lvlJc w:val="left"/>
      <w:pPr>
        <w:ind w:left="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3C642C">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7EF064">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38D1C0">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D649678">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5D6B72E">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6881B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E0A852">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2B2A2E"/>
    <w:multiLevelType w:val="hybridMultilevel"/>
    <w:tmpl w:val="9FC4A17E"/>
    <w:lvl w:ilvl="0" w:tplc="EAAA1644">
      <w:start w:val="24"/>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0E2948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55E0E1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96A18A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C163BC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92A666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256A5B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B242C2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BC831A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AC2F9E"/>
    <w:multiLevelType w:val="hybridMultilevel"/>
    <w:tmpl w:val="D90EAC2E"/>
    <w:lvl w:ilvl="0" w:tplc="D0807DE4">
      <w:start w:val="3"/>
      <w:numFmt w:val="decimal"/>
      <w:lvlText w:val="%1."/>
      <w:lvlJc w:val="left"/>
      <w:pPr>
        <w:ind w:left="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562023E">
      <w:start w:val="1"/>
      <w:numFmt w:val="bullet"/>
      <w:lvlText w:val="•"/>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002974">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CEB01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DA66F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80B4FC">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14E2E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9612C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26D42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84135A"/>
    <w:multiLevelType w:val="hybridMultilevel"/>
    <w:tmpl w:val="486E2D94"/>
    <w:lvl w:ilvl="0" w:tplc="EBD02D5A">
      <w:start w:val="5"/>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B58D704">
      <w:start w:val="1"/>
      <w:numFmt w:val="decimal"/>
      <w:lvlText w:val="%2)"/>
      <w:lvlJc w:val="left"/>
      <w:pPr>
        <w:ind w:left="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036B5C4">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6ADF32">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BAA72A">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249FA2">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8AF128">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68DD30">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FABD60">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662D94"/>
    <w:multiLevelType w:val="hybridMultilevel"/>
    <w:tmpl w:val="62860C24"/>
    <w:lvl w:ilvl="0" w:tplc="286C3F16">
      <w:start w:val="4"/>
      <w:numFmt w:val="decimal"/>
      <w:lvlText w:val="%1)"/>
      <w:lvlJc w:val="left"/>
      <w:pPr>
        <w:ind w:left="4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7966A4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254FD4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EEED2E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A663B1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07836B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2F2140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58C4B4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FEA510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BC0C0C"/>
    <w:multiLevelType w:val="hybridMultilevel"/>
    <w:tmpl w:val="A3EAF7DC"/>
    <w:lvl w:ilvl="0" w:tplc="53D8E5A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D225BA">
      <w:start w:val="2"/>
      <w:numFmt w:val="decimal"/>
      <w:lvlText w:val="%2)"/>
      <w:lvlJc w:val="left"/>
      <w:pPr>
        <w:ind w:left="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B071B2">
      <w:start w:val="1"/>
      <w:numFmt w:val="lowerRoman"/>
      <w:lvlText w:val="%3"/>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9AED20">
      <w:start w:val="1"/>
      <w:numFmt w:val="decimal"/>
      <w:lvlText w:val="%4"/>
      <w:lvlJc w:val="left"/>
      <w:pPr>
        <w:ind w:left="2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A84F02">
      <w:start w:val="1"/>
      <w:numFmt w:val="lowerLetter"/>
      <w:lvlText w:val="%5"/>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A49426">
      <w:start w:val="1"/>
      <w:numFmt w:val="lowerRoman"/>
      <w:lvlText w:val="%6"/>
      <w:lvlJc w:val="left"/>
      <w:pPr>
        <w:ind w:left="3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964FBC">
      <w:start w:val="1"/>
      <w:numFmt w:val="decimal"/>
      <w:lvlText w:val="%7"/>
      <w:lvlJc w:val="left"/>
      <w:pPr>
        <w:ind w:left="4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E08B84">
      <w:start w:val="1"/>
      <w:numFmt w:val="lowerLetter"/>
      <w:lvlText w:val="%8"/>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2EC44A">
      <w:start w:val="1"/>
      <w:numFmt w:val="lowerRoman"/>
      <w:lvlText w:val="%9"/>
      <w:lvlJc w:val="left"/>
      <w:pPr>
        <w:ind w:left="5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C51012"/>
    <w:multiLevelType w:val="hybridMultilevel"/>
    <w:tmpl w:val="6598EEBA"/>
    <w:lvl w:ilvl="0" w:tplc="E0DA9502">
      <w:start w:val="1"/>
      <w:numFmt w:val="decimal"/>
      <w:lvlText w:val="%1)"/>
      <w:lvlJc w:val="left"/>
      <w:pPr>
        <w:ind w:left="4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9BCBCF2">
      <w:start w:val="1"/>
      <w:numFmt w:val="lowerLetter"/>
      <w:lvlText w:val="%2"/>
      <w:lvlJc w:val="left"/>
      <w:pPr>
        <w:ind w:left="11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F2E168E">
      <w:start w:val="1"/>
      <w:numFmt w:val="lowerRoman"/>
      <w:lvlText w:val="%3"/>
      <w:lvlJc w:val="left"/>
      <w:pPr>
        <w:ind w:left="18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5E49C7E">
      <w:start w:val="1"/>
      <w:numFmt w:val="decimal"/>
      <w:lvlText w:val="%4"/>
      <w:lvlJc w:val="left"/>
      <w:pPr>
        <w:ind w:left="2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F36CBAE">
      <w:start w:val="1"/>
      <w:numFmt w:val="lowerLetter"/>
      <w:lvlText w:val="%5"/>
      <w:lvlJc w:val="left"/>
      <w:pPr>
        <w:ind w:left="33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5A4B948">
      <w:start w:val="1"/>
      <w:numFmt w:val="lowerRoman"/>
      <w:lvlText w:val="%6"/>
      <w:lvlJc w:val="left"/>
      <w:pPr>
        <w:ind w:left="40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586E9C2">
      <w:start w:val="1"/>
      <w:numFmt w:val="decimal"/>
      <w:lvlText w:val="%7"/>
      <w:lvlJc w:val="left"/>
      <w:pPr>
        <w:ind w:left="47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C26E00C">
      <w:start w:val="1"/>
      <w:numFmt w:val="lowerLetter"/>
      <w:lvlText w:val="%8"/>
      <w:lvlJc w:val="left"/>
      <w:pPr>
        <w:ind w:left="54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B54F454">
      <w:start w:val="1"/>
      <w:numFmt w:val="lowerRoman"/>
      <w:lvlText w:val="%9"/>
      <w:lvlJc w:val="left"/>
      <w:pPr>
        <w:ind w:left="61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C1B728B"/>
    <w:multiLevelType w:val="hybridMultilevel"/>
    <w:tmpl w:val="4220165E"/>
    <w:lvl w:ilvl="0" w:tplc="79925184">
      <w:start w:val="1"/>
      <w:numFmt w:val="bullet"/>
      <w:lvlText w:val=""/>
      <w:lvlJc w:val="left"/>
      <w:pPr>
        <w:ind w:left="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3E0A896">
      <w:start w:val="1"/>
      <w:numFmt w:val="bullet"/>
      <w:lvlText w:val="o"/>
      <w:lvlJc w:val="left"/>
      <w:pPr>
        <w:ind w:left="11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8883FF4">
      <w:start w:val="1"/>
      <w:numFmt w:val="bullet"/>
      <w:lvlText w:val="▪"/>
      <w:lvlJc w:val="left"/>
      <w:pPr>
        <w:ind w:left="18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210EA50">
      <w:start w:val="1"/>
      <w:numFmt w:val="bullet"/>
      <w:lvlText w:val="•"/>
      <w:lvlJc w:val="left"/>
      <w:pPr>
        <w:ind w:left="25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D44B46E">
      <w:start w:val="1"/>
      <w:numFmt w:val="bullet"/>
      <w:lvlText w:val="o"/>
      <w:lvlJc w:val="left"/>
      <w:pPr>
        <w:ind w:left="33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0A40A8C">
      <w:start w:val="1"/>
      <w:numFmt w:val="bullet"/>
      <w:lvlText w:val="▪"/>
      <w:lvlJc w:val="left"/>
      <w:pPr>
        <w:ind w:left="40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2F6DB74">
      <w:start w:val="1"/>
      <w:numFmt w:val="bullet"/>
      <w:lvlText w:val="•"/>
      <w:lvlJc w:val="left"/>
      <w:pPr>
        <w:ind w:left="47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014E212">
      <w:start w:val="1"/>
      <w:numFmt w:val="bullet"/>
      <w:lvlText w:val="o"/>
      <w:lvlJc w:val="left"/>
      <w:pPr>
        <w:ind w:left="54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486B444">
      <w:start w:val="1"/>
      <w:numFmt w:val="bullet"/>
      <w:lvlText w:val="▪"/>
      <w:lvlJc w:val="left"/>
      <w:pPr>
        <w:ind w:left="6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EDB77E8"/>
    <w:multiLevelType w:val="hybridMultilevel"/>
    <w:tmpl w:val="B48A8FCC"/>
    <w:lvl w:ilvl="0" w:tplc="3124827A">
      <w:start w:val="8"/>
      <w:numFmt w:val="decimal"/>
      <w:lvlText w:val="%1."/>
      <w:lvlJc w:val="left"/>
      <w:pPr>
        <w:ind w:left="5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8143AE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EC6B2E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20A758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502892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CDCE76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DA2A74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4360F5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6C2725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2376394"/>
    <w:multiLevelType w:val="hybridMultilevel"/>
    <w:tmpl w:val="C6CE4388"/>
    <w:lvl w:ilvl="0" w:tplc="125EFEAA">
      <w:start w:val="1"/>
      <w:numFmt w:val="decimal"/>
      <w:lvlText w:val="%1."/>
      <w:lvlJc w:val="left"/>
      <w:pPr>
        <w:ind w:left="4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68817D2">
      <w:start w:val="1"/>
      <w:numFmt w:val="lowerLetter"/>
      <w:lvlText w:val="%2)"/>
      <w:lvlJc w:val="left"/>
      <w:pPr>
        <w:ind w:left="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EEC9700">
      <w:start w:val="1"/>
      <w:numFmt w:val="lowerRoman"/>
      <w:lvlText w:val="%3"/>
      <w:lvlJc w:val="left"/>
      <w:pPr>
        <w:ind w:left="1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20DE94">
      <w:start w:val="1"/>
      <w:numFmt w:val="decimal"/>
      <w:lvlText w:val="%4"/>
      <w:lvlJc w:val="left"/>
      <w:pPr>
        <w:ind w:left="21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C2281C">
      <w:start w:val="1"/>
      <w:numFmt w:val="lowerLetter"/>
      <w:lvlText w:val="%5"/>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A85D12">
      <w:start w:val="1"/>
      <w:numFmt w:val="lowerRoman"/>
      <w:lvlText w:val="%6"/>
      <w:lvlJc w:val="left"/>
      <w:pPr>
        <w:ind w:left="3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0CB644">
      <w:start w:val="1"/>
      <w:numFmt w:val="decimal"/>
      <w:lvlText w:val="%7"/>
      <w:lvlJc w:val="left"/>
      <w:pPr>
        <w:ind w:left="4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3639BA">
      <w:start w:val="1"/>
      <w:numFmt w:val="lowerLetter"/>
      <w:lvlText w:val="%8"/>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0E9C2A">
      <w:start w:val="1"/>
      <w:numFmt w:val="lowerRoman"/>
      <w:lvlText w:val="%9"/>
      <w:lvlJc w:val="left"/>
      <w:pPr>
        <w:ind w:left="57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4E116B3"/>
    <w:multiLevelType w:val="hybridMultilevel"/>
    <w:tmpl w:val="EE7A6010"/>
    <w:lvl w:ilvl="0" w:tplc="B732739A">
      <w:start w:val="1"/>
      <w:numFmt w:val="decimal"/>
      <w:lvlText w:val="%1."/>
      <w:lvlJc w:val="left"/>
      <w:pPr>
        <w:ind w:left="6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88482CC">
      <w:start w:val="1"/>
      <w:numFmt w:val="lowerLetter"/>
      <w:lvlText w:val="%2."/>
      <w:lvlJc w:val="left"/>
      <w:pPr>
        <w:ind w:left="7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F04A7AE">
      <w:start w:val="1"/>
      <w:numFmt w:val="lowerRoman"/>
      <w:lvlText w:val="%3"/>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F0471C4">
      <w:start w:val="1"/>
      <w:numFmt w:val="decimal"/>
      <w:lvlText w:val="%4"/>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692D32A">
      <w:start w:val="1"/>
      <w:numFmt w:val="lowerLetter"/>
      <w:lvlText w:val="%5"/>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4B2EF76">
      <w:start w:val="1"/>
      <w:numFmt w:val="lowerRoman"/>
      <w:lvlText w:val="%6"/>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2BE2CB6">
      <w:start w:val="1"/>
      <w:numFmt w:val="decimal"/>
      <w:lvlText w:val="%7"/>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C0012BE">
      <w:start w:val="1"/>
      <w:numFmt w:val="lowerLetter"/>
      <w:lvlText w:val="%8"/>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2D410E4">
      <w:start w:val="1"/>
      <w:numFmt w:val="lowerRoman"/>
      <w:lvlText w:val="%9"/>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53B7023"/>
    <w:multiLevelType w:val="hybridMultilevel"/>
    <w:tmpl w:val="574EAEA6"/>
    <w:lvl w:ilvl="0" w:tplc="A9627F5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946DD6">
      <w:start w:val="1"/>
      <w:numFmt w:val="decimal"/>
      <w:lvlText w:val="%2)"/>
      <w:lvlJc w:val="left"/>
      <w:pPr>
        <w:ind w:left="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AA3ACE">
      <w:start w:val="1"/>
      <w:numFmt w:val="lowerRoman"/>
      <w:lvlText w:val="%3"/>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787180">
      <w:start w:val="1"/>
      <w:numFmt w:val="decimal"/>
      <w:lvlText w:val="%4"/>
      <w:lvlJc w:val="left"/>
      <w:pPr>
        <w:ind w:left="2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9A108C">
      <w:start w:val="1"/>
      <w:numFmt w:val="lowerLetter"/>
      <w:lvlText w:val="%5"/>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A06334">
      <w:start w:val="1"/>
      <w:numFmt w:val="lowerRoman"/>
      <w:lvlText w:val="%6"/>
      <w:lvlJc w:val="left"/>
      <w:pPr>
        <w:ind w:left="3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E03A82">
      <w:start w:val="1"/>
      <w:numFmt w:val="decimal"/>
      <w:lvlText w:val="%7"/>
      <w:lvlJc w:val="left"/>
      <w:pPr>
        <w:ind w:left="4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1E6B1C">
      <w:start w:val="1"/>
      <w:numFmt w:val="lowerLetter"/>
      <w:lvlText w:val="%8"/>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865D80">
      <w:start w:val="1"/>
      <w:numFmt w:val="lowerRoman"/>
      <w:lvlText w:val="%9"/>
      <w:lvlJc w:val="left"/>
      <w:pPr>
        <w:ind w:left="5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D1B18C0"/>
    <w:multiLevelType w:val="hybridMultilevel"/>
    <w:tmpl w:val="62EA3472"/>
    <w:lvl w:ilvl="0" w:tplc="7CAA0D34">
      <w:start w:val="1"/>
      <w:numFmt w:val="decimal"/>
      <w:lvlText w:val="%1)"/>
      <w:lvlJc w:val="left"/>
      <w:pPr>
        <w:ind w:left="4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010D1E6">
      <w:start w:val="1"/>
      <w:numFmt w:val="lowerLetter"/>
      <w:lvlText w:val="%2"/>
      <w:lvlJc w:val="left"/>
      <w:pPr>
        <w:ind w:left="15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FD44822">
      <w:start w:val="1"/>
      <w:numFmt w:val="lowerRoman"/>
      <w:lvlText w:val="%3"/>
      <w:lvlJc w:val="left"/>
      <w:pPr>
        <w:ind w:left="222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85018B2">
      <w:start w:val="1"/>
      <w:numFmt w:val="decimal"/>
      <w:lvlText w:val="%4"/>
      <w:lvlJc w:val="left"/>
      <w:pPr>
        <w:ind w:left="294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4462AFE">
      <w:start w:val="1"/>
      <w:numFmt w:val="lowerLetter"/>
      <w:lvlText w:val="%5"/>
      <w:lvlJc w:val="left"/>
      <w:pPr>
        <w:ind w:left="36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8CAE41A">
      <w:start w:val="1"/>
      <w:numFmt w:val="lowerRoman"/>
      <w:lvlText w:val="%6"/>
      <w:lvlJc w:val="left"/>
      <w:pPr>
        <w:ind w:left="438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BD49D50">
      <w:start w:val="1"/>
      <w:numFmt w:val="decimal"/>
      <w:lvlText w:val="%7"/>
      <w:lvlJc w:val="left"/>
      <w:pPr>
        <w:ind w:left="51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FF20570">
      <w:start w:val="1"/>
      <w:numFmt w:val="lowerLetter"/>
      <w:lvlText w:val="%8"/>
      <w:lvlJc w:val="left"/>
      <w:pPr>
        <w:ind w:left="582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8767384">
      <w:start w:val="1"/>
      <w:numFmt w:val="lowerRoman"/>
      <w:lvlText w:val="%9"/>
      <w:lvlJc w:val="left"/>
      <w:pPr>
        <w:ind w:left="654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4810021"/>
    <w:multiLevelType w:val="hybridMultilevel"/>
    <w:tmpl w:val="2BDE43B0"/>
    <w:lvl w:ilvl="0" w:tplc="19645332">
      <w:start w:val="17"/>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09ECCAA">
      <w:start w:val="23"/>
      <w:numFmt w:val="upperLetter"/>
      <w:lvlText w:val="%2"/>
      <w:lvlJc w:val="left"/>
      <w:pPr>
        <w:ind w:left="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8062C0">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9C5DDC">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C878C6">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9001698">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706EBC">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E60270">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BC2244">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6A40272"/>
    <w:multiLevelType w:val="hybridMultilevel"/>
    <w:tmpl w:val="22880ACC"/>
    <w:lvl w:ilvl="0" w:tplc="ABFC860E">
      <w:start w:val="2"/>
      <w:numFmt w:val="decimal"/>
      <w:lvlText w:val="%1."/>
      <w:lvlJc w:val="left"/>
      <w:pPr>
        <w:ind w:left="2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0087DF4">
      <w:start w:val="1"/>
      <w:numFmt w:val="lowerLetter"/>
      <w:lvlText w:val="%2"/>
      <w:lvlJc w:val="left"/>
      <w:pPr>
        <w:ind w:left="12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FCE41EA">
      <w:start w:val="1"/>
      <w:numFmt w:val="lowerRoman"/>
      <w:lvlText w:val="%3"/>
      <w:lvlJc w:val="left"/>
      <w:pPr>
        <w:ind w:left="19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E760724">
      <w:start w:val="1"/>
      <w:numFmt w:val="decimal"/>
      <w:lvlText w:val="%4"/>
      <w:lvlJc w:val="left"/>
      <w:pPr>
        <w:ind w:left="26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A1C9D08">
      <w:start w:val="1"/>
      <w:numFmt w:val="lowerLetter"/>
      <w:lvlText w:val="%5"/>
      <w:lvlJc w:val="left"/>
      <w:pPr>
        <w:ind w:left="33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D4C7116">
      <w:start w:val="1"/>
      <w:numFmt w:val="lowerRoman"/>
      <w:lvlText w:val="%6"/>
      <w:lvlJc w:val="left"/>
      <w:pPr>
        <w:ind w:left="41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A8AC0C8">
      <w:start w:val="1"/>
      <w:numFmt w:val="decimal"/>
      <w:lvlText w:val="%7"/>
      <w:lvlJc w:val="left"/>
      <w:pPr>
        <w:ind w:left="48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F5217D0">
      <w:start w:val="1"/>
      <w:numFmt w:val="lowerLetter"/>
      <w:lvlText w:val="%8"/>
      <w:lvlJc w:val="left"/>
      <w:pPr>
        <w:ind w:left="55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C9814DE">
      <w:start w:val="1"/>
      <w:numFmt w:val="lowerRoman"/>
      <w:lvlText w:val="%9"/>
      <w:lvlJc w:val="left"/>
      <w:pPr>
        <w:ind w:left="62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6C42BBE"/>
    <w:multiLevelType w:val="hybridMultilevel"/>
    <w:tmpl w:val="81D2BD44"/>
    <w:lvl w:ilvl="0" w:tplc="541C51B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E829E6">
      <w:start w:val="1"/>
      <w:numFmt w:val="decimal"/>
      <w:lvlText w:val="%2)"/>
      <w:lvlJc w:val="left"/>
      <w:pPr>
        <w:ind w:left="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FA235C">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7CD0DA">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96DE78">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9E1968">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CC9DBC">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287A9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86BF6C">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6FA6546"/>
    <w:multiLevelType w:val="hybridMultilevel"/>
    <w:tmpl w:val="02F4CE56"/>
    <w:lvl w:ilvl="0" w:tplc="56DEDB2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9C3052">
      <w:start w:val="1"/>
      <w:numFmt w:val="decimal"/>
      <w:lvlText w:val="%2)"/>
      <w:lvlJc w:val="left"/>
      <w:pPr>
        <w:ind w:left="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42B704">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BE5530">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B05DB2">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C0235C">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5C9CD4">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3A920C">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049BCE">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B4D4A87"/>
    <w:multiLevelType w:val="hybridMultilevel"/>
    <w:tmpl w:val="BB02B456"/>
    <w:lvl w:ilvl="0" w:tplc="FABA78FA">
      <w:start w:val="1"/>
      <w:numFmt w:val="lowerLetter"/>
      <w:lvlText w:val="%1)"/>
      <w:lvlJc w:val="left"/>
      <w:pPr>
        <w:ind w:left="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5A115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B0E77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050780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C229F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C8121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BC375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AE2A3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A4C1EE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0315103"/>
    <w:multiLevelType w:val="hybridMultilevel"/>
    <w:tmpl w:val="6EF2A8AC"/>
    <w:lvl w:ilvl="0" w:tplc="61D8FF5C">
      <w:start w:val="7"/>
      <w:numFmt w:val="decimal"/>
      <w:lvlText w:val="%1)"/>
      <w:lvlJc w:val="left"/>
      <w:pPr>
        <w:ind w:left="7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F5C4B6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F9EAA1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F9C4F4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91673C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2029D8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31207F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26E494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B38FFF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0B11A9B"/>
    <w:multiLevelType w:val="hybridMultilevel"/>
    <w:tmpl w:val="E0585502"/>
    <w:lvl w:ilvl="0" w:tplc="A2FC2A7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C2B25A">
      <w:start w:val="1"/>
      <w:numFmt w:val="lowerLetter"/>
      <w:lvlText w:val="%2"/>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06753C">
      <w:start w:val="1"/>
      <w:numFmt w:val="decimal"/>
      <w:lvlRestart w:val="0"/>
      <w:lvlText w:val="%3)"/>
      <w:lvlJc w:val="left"/>
      <w:pPr>
        <w:ind w:left="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802BB6">
      <w:start w:val="1"/>
      <w:numFmt w:val="decimal"/>
      <w:lvlText w:val="%4"/>
      <w:lvlJc w:val="left"/>
      <w:pPr>
        <w:ind w:left="1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3676EA">
      <w:start w:val="1"/>
      <w:numFmt w:val="lowerLetter"/>
      <w:lvlText w:val="%5"/>
      <w:lvlJc w:val="left"/>
      <w:pPr>
        <w:ind w:left="2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02D358">
      <w:start w:val="1"/>
      <w:numFmt w:val="lowerRoman"/>
      <w:lvlText w:val="%6"/>
      <w:lvlJc w:val="left"/>
      <w:pPr>
        <w:ind w:left="3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B8F942">
      <w:start w:val="1"/>
      <w:numFmt w:val="decimal"/>
      <w:lvlText w:val="%7"/>
      <w:lvlJc w:val="left"/>
      <w:pPr>
        <w:ind w:left="3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AAC4AE">
      <w:start w:val="1"/>
      <w:numFmt w:val="lowerLetter"/>
      <w:lvlText w:val="%8"/>
      <w:lvlJc w:val="left"/>
      <w:pPr>
        <w:ind w:left="4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2AE6F6">
      <w:start w:val="1"/>
      <w:numFmt w:val="lowerRoman"/>
      <w:lvlText w:val="%9"/>
      <w:lvlJc w:val="left"/>
      <w:pPr>
        <w:ind w:left="5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280629B"/>
    <w:multiLevelType w:val="hybridMultilevel"/>
    <w:tmpl w:val="31389506"/>
    <w:lvl w:ilvl="0" w:tplc="997CC654">
      <w:start w:val="1"/>
      <w:numFmt w:val="bullet"/>
      <w:lvlText w:val=""/>
      <w:lvlJc w:val="left"/>
      <w:pPr>
        <w:ind w:left="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6C2A52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36AA7C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1D84F1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2923D0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19852B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A0C523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3B8BD8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B968F1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43032F9"/>
    <w:multiLevelType w:val="hybridMultilevel"/>
    <w:tmpl w:val="73D04C16"/>
    <w:lvl w:ilvl="0" w:tplc="609466BA">
      <w:start w:val="1"/>
      <w:numFmt w:val="bullet"/>
      <w:lvlText w:val="-"/>
      <w:lvlJc w:val="left"/>
      <w:pPr>
        <w:ind w:left="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4C146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B89DC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5CC5B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60C8C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48F5E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12033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ACCBA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D07F8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4CA30F3"/>
    <w:multiLevelType w:val="hybridMultilevel"/>
    <w:tmpl w:val="3AA062AE"/>
    <w:lvl w:ilvl="0" w:tplc="374A999E">
      <w:start w:val="1"/>
      <w:numFmt w:val="bullet"/>
      <w:lvlText w:val="•"/>
      <w:lvlJc w:val="left"/>
      <w:pPr>
        <w:ind w:left="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704FA4">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4A2B24">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C83418">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78FBCA">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50C830">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8EACC2">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D2D3DC">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089022">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5AB6F30"/>
    <w:multiLevelType w:val="hybridMultilevel"/>
    <w:tmpl w:val="C194F23C"/>
    <w:lvl w:ilvl="0" w:tplc="8566FF7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D6E81E">
      <w:start w:val="1"/>
      <w:numFmt w:val="decimal"/>
      <w:lvlText w:val="%2)"/>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F641676">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66776A">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C4AB46">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FAC306">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76066C">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96799C">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08EB4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64C09A2"/>
    <w:multiLevelType w:val="hybridMultilevel"/>
    <w:tmpl w:val="5EBA8A4A"/>
    <w:lvl w:ilvl="0" w:tplc="DF3E01F2">
      <w:start w:val="13"/>
      <w:numFmt w:val="decimal"/>
      <w:lvlText w:val="%1."/>
      <w:lvlJc w:val="left"/>
      <w:pPr>
        <w:ind w:left="5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5E2E1B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AE0AEC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5F0149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C0E593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F8E17F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9101F7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AECEFD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F4AB8C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71D7854"/>
    <w:multiLevelType w:val="hybridMultilevel"/>
    <w:tmpl w:val="0B702D42"/>
    <w:lvl w:ilvl="0" w:tplc="95182586">
      <w:start w:val="5"/>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C0A16C4">
      <w:start w:val="23"/>
      <w:numFmt w:val="upperLetter"/>
      <w:lvlText w:val="%2"/>
      <w:lvlJc w:val="left"/>
      <w:pPr>
        <w:ind w:left="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E67502">
      <w:start w:val="1"/>
      <w:numFmt w:val="lowerRoman"/>
      <w:lvlText w:val="%3"/>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A62D0E">
      <w:start w:val="1"/>
      <w:numFmt w:val="decimal"/>
      <w:lvlText w:val="%4"/>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F45C70">
      <w:start w:val="1"/>
      <w:numFmt w:val="lowerLetter"/>
      <w:lvlText w:val="%5"/>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3C7C2A">
      <w:start w:val="1"/>
      <w:numFmt w:val="lowerRoman"/>
      <w:lvlText w:val="%6"/>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467728">
      <w:start w:val="1"/>
      <w:numFmt w:val="decimal"/>
      <w:lvlText w:val="%7"/>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14FB84">
      <w:start w:val="1"/>
      <w:numFmt w:val="lowerLetter"/>
      <w:lvlText w:val="%8"/>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2E768E">
      <w:start w:val="1"/>
      <w:numFmt w:val="lowerRoman"/>
      <w:lvlText w:val="%9"/>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BCC13D7"/>
    <w:multiLevelType w:val="hybridMultilevel"/>
    <w:tmpl w:val="96D4C9BC"/>
    <w:lvl w:ilvl="0" w:tplc="CF1C038A">
      <w:start w:val="1"/>
      <w:numFmt w:val="lowerLetter"/>
      <w:lvlText w:val="%1)"/>
      <w:lvlJc w:val="left"/>
      <w:pPr>
        <w:ind w:left="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309C36">
      <w:start w:val="1"/>
      <w:numFmt w:val="decimal"/>
      <w:lvlText w:val="%2."/>
      <w:lvlJc w:val="left"/>
      <w:pPr>
        <w:ind w:left="1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14CD14">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888228">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AEBDDC">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363652">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D62ABC">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9A738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2A374E">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F1F2F58"/>
    <w:multiLevelType w:val="hybridMultilevel"/>
    <w:tmpl w:val="1CD6A10C"/>
    <w:lvl w:ilvl="0" w:tplc="EA02001E">
      <w:start w:val="1"/>
      <w:numFmt w:val="lowerLetter"/>
      <w:lvlText w:val="%1."/>
      <w:lvlJc w:val="left"/>
      <w:pPr>
        <w:ind w:left="7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F1A8F48">
      <w:start w:val="1"/>
      <w:numFmt w:val="lowerLetter"/>
      <w:lvlText w:val="%2"/>
      <w:lvlJc w:val="left"/>
      <w:pPr>
        <w:ind w:left="13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4F281C8">
      <w:start w:val="1"/>
      <w:numFmt w:val="lowerRoman"/>
      <w:lvlText w:val="%3"/>
      <w:lvlJc w:val="left"/>
      <w:pPr>
        <w:ind w:left="20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002AD5E">
      <w:start w:val="1"/>
      <w:numFmt w:val="decimal"/>
      <w:lvlText w:val="%4"/>
      <w:lvlJc w:val="left"/>
      <w:pPr>
        <w:ind w:left="28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C8A8CAE">
      <w:start w:val="1"/>
      <w:numFmt w:val="lowerLetter"/>
      <w:lvlText w:val="%5"/>
      <w:lvlJc w:val="left"/>
      <w:pPr>
        <w:ind w:left="35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C52D8F8">
      <w:start w:val="1"/>
      <w:numFmt w:val="lowerRoman"/>
      <w:lvlText w:val="%6"/>
      <w:lvlJc w:val="left"/>
      <w:pPr>
        <w:ind w:left="42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28A5C96">
      <w:start w:val="1"/>
      <w:numFmt w:val="decimal"/>
      <w:lvlText w:val="%7"/>
      <w:lvlJc w:val="left"/>
      <w:pPr>
        <w:ind w:left="49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B4E645C">
      <w:start w:val="1"/>
      <w:numFmt w:val="lowerLetter"/>
      <w:lvlText w:val="%8"/>
      <w:lvlJc w:val="left"/>
      <w:pPr>
        <w:ind w:left="56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4728184">
      <w:start w:val="1"/>
      <w:numFmt w:val="lowerRoman"/>
      <w:lvlText w:val="%9"/>
      <w:lvlJc w:val="left"/>
      <w:pPr>
        <w:ind w:left="64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83114F2"/>
    <w:multiLevelType w:val="hybridMultilevel"/>
    <w:tmpl w:val="8B246EFA"/>
    <w:lvl w:ilvl="0" w:tplc="D1EC055A">
      <w:start w:val="8"/>
      <w:numFmt w:val="decimal"/>
      <w:lvlText w:val="%1."/>
      <w:lvlJc w:val="left"/>
      <w:pPr>
        <w:ind w:left="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A5AD67E">
      <w:start w:val="1"/>
      <w:numFmt w:val="decimal"/>
      <w:lvlText w:val="%2."/>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827B92">
      <w:start w:val="1"/>
      <w:numFmt w:val="bullet"/>
      <w:lvlText w:val="•"/>
      <w:lvlJc w:val="left"/>
      <w:pPr>
        <w:ind w:left="16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8074D4">
      <w:start w:val="1"/>
      <w:numFmt w:val="bullet"/>
      <w:lvlText w:val="•"/>
      <w:lvlJc w:val="left"/>
      <w:pPr>
        <w:ind w:left="2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EA7DDA">
      <w:start w:val="1"/>
      <w:numFmt w:val="bullet"/>
      <w:lvlText w:val="o"/>
      <w:lvlJc w:val="left"/>
      <w:pPr>
        <w:ind w:left="3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403BFE">
      <w:start w:val="1"/>
      <w:numFmt w:val="bullet"/>
      <w:lvlText w:val="▪"/>
      <w:lvlJc w:val="left"/>
      <w:pPr>
        <w:ind w:left="3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62CDA0">
      <w:start w:val="1"/>
      <w:numFmt w:val="bullet"/>
      <w:lvlText w:val="•"/>
      <w:lvlJc w:val="left"/>
      <w:pPr>
        <w:ind w:left="4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E64654">
      <w:start w:val="1"/>
      <w:numFmt w:val="bullet"/>
      <w:lvlText w:val="o"/>
      <w:lvlJc w:val="left"/>
      <w:pPr>
        <w:ind w:left="5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E4396A">
      <w:start w:val="1"/>
      <w:numFmt w:val="bullet"/>
      <w:lvlText w:val="▪"/>
      <w:lvlJc w:val="left"/>
      <w:pPr>
        <w:ind w:left="5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AD85897"/>
    <w:multiLevelType w:val="hybridMultilevel"/>
    <w:tmpl w:val="DCEA852A"/>
    <w:lvl w:ilvl="0" w:tplc="FE52555A">
      <w:start w:val="1"/>
      <w:numFmt w:val="bullet"/>
      <w:lvlText w:val=""/>
      <w:lvlJc w:val="left"/>
      <w:pPr>
        <w:ind w:left="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A42CD7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376E3A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C2A96A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B26006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614DEA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7B41C2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2DCC2AA">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596590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D764DE9"/>
    <w:multiLevelType w:val="hybridMultilevel"/>
    <w:tmpl w:val="6924E348"/>
    <w:lvl w:ilvl="0" w:tplc="FF18F12C">
      <w:start w:val="4"/>
      <w:numFmt w:val="decimal"/>
      <w:lvlText w:val="%1."/>
      <w:lvlJc w:val="left"/>
      <w:pPr>
        <w:ind w:left="41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D9EAFE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57A26F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8F49A6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870BCC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46C3A9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8FA42C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F8AF22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32C11E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E1B6EA2"/>
    <w:multiLevelType w:val="hybridMultilevel"/>
    <w:tmpl w:val="36746672"/>
    <w:lvl w:ilvl="0" w:tplc="897241E2">
      <w:start w:val="1"/>
      <w:numFmt w:val="decimal"/>
      <w:lvlText w:val="%1."/>
      <w:lvlJc w:val="left"/>
      <w:pPr>
        <w:ind w:left="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2C2BD6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1BE756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668949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544C41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47403F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F74160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5BA128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89A725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ED90885"/>
    <w:multiLevelType w:val="hybridMultilevel"/>
    <w:tmpl w:val="EF949286"/>
    <w:lvl w:ilvl="0" w:tplc="8F7054D8">
      <w:start w:val="1"/>
      <w:numFmt w:val="decimal"/>
      <w:lvlText w:val="%1"/>
      <w:lvlJc w:val="left"/>
      <w:pPr>
        <w:ind w:left="36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1" w:tplc="6DDAC13C">
      <w:start w:val="1"/>
      <w:numFmt w:val="lowerLetter"/>
      <w:lvlText w:val="%2"/>
      <w:lvlJc w:val="left"/>
      <w:pPr>
        <w:ind w:left="593"/>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2" w:tplc="B4CA3BCA">
      <w:start w:val="1"/>
      <w:numFmt w:val="lowerRoman"/>
      <w:lvlText w:val="%3"/>
      <w:lvlJc w:val="left"/>
      <w:pPr>
        <w:ind w:left="826"/>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3" w:tplc="3426147C">
      <w:start w:val="1"/>
      <w:numFmt w:val="decimal"/>
      <w:lvlRestart w:val="0"/>
      <w:lvlText w:val="%4)"/>
      <w:lvlJc w:val="left"/>
      <w:pPr>
        <w:ind w:left="563"/>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4" w:tplc="27B83BF4">
      <w:start w:val="1"/>
      <w:numFmt w:val="lowerLetter"/>
      <w:lvlText w:val="%5"/>
      <w:lvlJc w:val="left"/>
      <w:pPr>
        <w:ind w:left="1778"/>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5" w:tplc="47FAB780">
      <w:start w:val="1"/>
      <w:numFmt w:val="lowerRoman"/>
      <w:lvlText w:val="%6"/>
      <w:lvlJc w:val="left"/>
      <w:pPr>
        <w:ind w:left="2498"/>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6" w:tplc="2936670A">
      <w:start w:val="1"/>
      <w:numFmt w:val="decimal"/>
      <w:lvlText w:val="%7"/>
      <w:lvlJc w:val="left"/>
      <w:pPr>
        <w:ind w:left="3218"/>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7" w:tplc="75BAFD18">
      <w:start w:val="1"/>
      <w:numFmt w:val="lowerLetter"/>
      <w:lvlText w:val="%8"/>
      <w:lvlJc w:val="left"/>
      <w:pPr>
        <w:ind w:left="3938"/>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8" w:tplc="4DDA18C2">
      <w:start w:val="1"/>
      <w:numFmt w:val="lowerRoman"/>
      <w:lvlText w:val="%9"/>
      <w:lvlJc w:val="left"/>
      <w:pPr>
        <w:ind w:left="4658"/>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2E10D3C"/>
    <w:multiLevelType w:val="hybridMultilevel"/>
    <w:tmpl w:val="BC489E28"/>
    <w:lvl w:ilvl="0" w:tplc="FF5E6AFA">
      <w:start w:val="1"/>
      <w:numFmt w:val="lowerLetter"/>
      <w:lvlText w:val="%1)"/>
      <w:lvlJc w:val="left"/>
      <w:pPr>
        <w:ind w:left="7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FD01004">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7B80498">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39CA976">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588C7D2">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E500D46">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55CAE72">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45EB7B4">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2823C4E">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4D17ABC"/>
    <w:multiLevelType w:val="hybridMultilevel"/>
    <w:tmpl w:val="C01EDDB0"/>
    <w:lvl w:ilvl="0" w:tplc="4BAEC81C">
      <w:start w:val="1"/>
      <w:numFmt w:val="bullet"/>
      <w:lvlText w:val=""/>
      <w:lvlJc w:val="left"/>
      <w:pPr>
        <w:ind w:left="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59C7EA6">
      <w:start w:val="23"/>
      <w:numFmt w:val="upperLetter"/>
      <w:lvlText w:val="%2"/>
      <w:lvlJc w:val="left"/>
      <w:pPr>
        <w:ind w:left="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2480B0">
      <w:start w:val="1"/>
      <w:numFmt w:val="decimal"/>
      <w:lvlText w:val="%3)"/>
      <w:lvlJc w:val="left"/>
      <w:pPr>
        <w:ind w:left="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D88DCA">
      <w:start w:val="1"/>
      <w:numFmt w:val="decimal"/>
      <w:lvlText w:val="%4"/>
      <w:lvlJc w:val="left"/>
      <w:pPr>
        <w:ind w:left="1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808904">
      <w:start w:val="1"/>
      <w:numFmt w:val="lowerLetter"/>
      <w:lvlText w:val="%5"/>
      <w:lvlJc w:val="left"/>
      <w:pPr>
        <w:ind w:left="2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9A30A8">
      <w:start w:val="1"/>
      <w:numFmt w:val="lowerRoman"/>
      <w:lvlText w:val="%6"/>
      <w:lvlJc w:val="left"/>
      <w:pPr>
        <w:ind w:left="3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C0EF90">
      <w:start w:val="1"/>
      <w:numFmt w:val="decimal"/>
      <w:lvlText w:val="%7"/>
      <w:lvlJc w:val="left"/>
      <w:pPr>
        <w:ind w:left="3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F8D07C">
      <w:start w:val="1"/>
      <w:numFmt w:val="lowerLetter"/>
      <w:lvlText w:val="%8"/>
      <w:lvlJc w:val="left"/>
      <w:pPr>
        <w:ind w:left="4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88C4C5C">
      <w:start w:val="1"/>
      <w:numFmt w:val="lowerRoman"/>
      <w:lvlText w:val="%9"/>
      <w:lvlJc w:val="left"/>
      <w:pPr>
        <w:ind w:left="5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93C7878"/>
    <w:multiLevelType w:val="hybridMultilevel"/>
    <w:tmpl w:val="B574AC4C"/>
    <w:lvl w:ilvl="0" w:tplc="636A4DA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869B2A">
      <w:start w:val="1"/>
      <w:numFmt w:val="decimal"/>
      <w:lvlText w:val="%2)"/>
      <w:lvlJc w:val="left"/>
      <w:pPr>
        <w:ind w:left="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1E65CC">
      <w:start w:val="1"/>
      <w:numFmt w:val="lowerRoman"/>
      <w:lvlText w:val="%3"/>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4044CC">
      <w:start w:val="1"/>
      <w:numFmt w:val="decimal"/>
      <w:lvlText w:val="%4"/>
      <w:lvlJc w:val="left"/>
      <w:pPr>
        <w:ind w:left="2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4CA0A8">
      <w:start w:val="1"/>
      <w:numFmt w:val="lowerLetter"/>
      <w:lvlText w:val="%5"/>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4294A6">
      <w:start w:val="1"/>
      <w:numFmt w:val="lowerRoman"/>
      <w:lvlText w:val="%6"/>
      <w:lvlJc w:val="left"/>
      <w:pPr>
        <w:ind w:left="3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F8C3DA">
      <w:start w:val="1"/>
      <w:numFmt w:val="decimal"/>
      <w:lvlText w:val="%7"/>
      <w:lvlJc w:val="left"/>
      <w:pPr>
        <w:ind w:left="4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2E2366">
      <w:start w:val="1"/>
      <w:numFmt w:val="lowerLetter"/>
      <w:lvlText w:val="%8"/>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922932">
      <w:start w:val="1"/>
      <w:numFmt w:val="lowerRoman"/>
      <w:lvlText w:val="%9"/>
      <w:lvlJc w:val="left"/>
      <w:pPr>
        <w:ind w:left="5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E2D098F"/>
    <w:multiLevelType w:val="hybridMultilevel"/>
    <w:tmpl w:val="AD4E32E2"/>
    <w:lvl w:ilvl="0" w:tplc="5FAA7BE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10E14A">
      <w:start w:val="1"/>
      <w:numFmt w:val="decimal"/>
      <w:lvlText w:val="%2)"/>
      <w:lvlJc w:val="left"/>
      <w:pPr>
        <w:ind w:left="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14D9DA">
      <w:start w:val="1"/>
      <w:numFmt w:val="lowerRoman"/>
      <w:lvlText w:val="%3"/>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12E36E">
      <w:start w:val="1"/>
      <w:numFmt w:val="decimal"/>
      <w:lvlText w:val="%4"/>
      <w:lvlJc w:val="left"/>
      <w:pPr>
        <w:ind w:left="2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76BB4E">
      <w:start w:val="1"/>
      <w:numFmt w:val="lowerLetter"/>
      <w:lvlText w:val="%5"/>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866392">
      <w:start w:val="1"/>
      <w:numFmt w:val="lowerRoman"/>
      <w:lvlText w:val="%6"/>
      <w:lvlJc w:val="left"/>
      <w:pPr>
        <w:ind w:left="3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04CC00">
      <w:start w:val="1"/>
      <w:numFmt w:val="decimal"/>
      <w:lvlText w:val="%7"/>
      <w:lvlJc w:val="left"/>
      <w:pPr>
        <w:ind w:left="4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0856BE">
      <w:start w:val="1"/>
      <w:numFmt w:val="lowerLetter"/>
      <w:lvlText w:val="%8"/>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22176A">
      <w:start w:val="1"/>
      <w:numFmt w:val="lowerRoman"/>
      <w:lvlText w:val="%9"/>
      <w:lvlJc w:val="left"/>
      <w:pPr>
        <w:ind w:left="5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F6F57D0"/>
    <w:multiLevelType w:val="hybridMultilevel"/>
    <w:tmpl w:val="145A031E"/>
    <w:lvl w:ilvl="0" w:tplc="D3B0BD2A">
      <w:start w:val="1"/>
      <w:numFmt w:val="decimal"/>
      <w:lvlText w:val="%1)"/>
      <w:lvlJc w:val="left"/>
      <w:pPr>
        <w:ind w:left="4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530C77E">
      <w:start w:val="1"/>
      <w:numFmt w:val="lowerLetter"/>
      <w:lvlText w:val="%2"/>
      <w:lvlJc w:val="left"/>
      <w:pPr>
        <w:ind w:left="12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76A3592">
      <w:start w:val="1"/>
      <w:numFmt w:val="lowerRoman"/>
      <w:lvlText w:val="%3"/>
      <w:lvlJc w:val="left"/>
      <w:pPr>
        <w:ind w:left="19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FD23AFE">
      <w:start w:val="1"/>
      <w:numFmt w:val="decimal"/>
      <w:lvlText w:val="%4"/>
      <w:lvlJc w:val="left"/>
      <w:pPr>
        <w:ind w:left="26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E02E032">
      <w:start w:val="1"/>
      <w:numFmt w:val="lowerLetter"/>
      <w:lvlText w:val="%5"/>
      <w:lvlJc w:val="left"/>
      <w:pPr>
        <w:ind w:left="33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B10DC0C">
      <w:start w:val="1"/>
      <w:numFmt w:val="lowerRoman"/>
      <w:lvlText w:val="%6"/>
      <w:lvlJc w:val="left"/>
      <w:pPr>
        <w:ind w:left="41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122C3B8">
      <w:start w:val="1"/>
      <w:numFmt w:val="decimal"/>
      <w:lvlText w:val="%7"/>
      <w:lvlJc w:val="left"/>
      <w:pPr>
        <w:ind w:left="48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E585FC0">
      <w:start w:val="1"/>
      <w:numFmt w:val="lowerLetter"/>
      <w:lvlText w:val="%8"/>
      <w:lvlJc w:val="left"/>
      <w:pPr>
        <w:ind w:left="55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4F06F0C">
      <w:start w:val="1"/>
      <w:numFmt w:val="lowerRoman"/>
      <w:lvlText w:val="%9"/>
      <w:lvlJc w:val="left"/>
      <w:pPr>
        <w:ind w:left="62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4AF1E16"/>
    <w:multiLevelType w:val="hybridMultilevel"/>
    <w:tmpl w:val="C0D8B9E4"/>
    <w:lvl w:ilvl="0" w:tplc="161A6038">
      <w:start w:val="31"/>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E5A0EC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734988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7C43DF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70C467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A9CAB0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1F2425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5A839D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DB4954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E3D49D0"/>
    <w:multiLevelType w:val="hybridMultilevel"/>
    <w:tmpl w:val="FFB2E26E"/>
    <w:lvl w:ilvl="0" w:tplc="40961D9A">
      <w:start w:val="1"/>
      <w:numFmt w:val="decimal"/>
      <w:lvlText w:val="%1."/>
      <w:lvlJc w:val="left"/>
      <w:pPr>
        <w:ind w:left="4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6982BFC">
      <w:start w:val="1"/>
      <w:numFmt w:val="decimal"/>
      <w:lvlText w:val="%2)"/>
      <w:lvlJc w:val="left"/>
      <w:pPr>
        <w:ind w:left="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0A9F32">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F0D548">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56CD24">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84C526">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3AD286">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A6EDB6">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90D2DC">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EAA056D"/>
    <w:multiLevelType w:val="hybridMultilevel"/>
    <w:tmpl w:val="D1424A42"/>
    <w:lvl w:ilvl="0" w:tplc="40B0F1B4">
      <w:start w:val="10"/>
      <w:numFmt w:val="decimal"/>
      <w:lvlText w:val="%1."/>
      <w:lvlJc w:val="left"/>
      <w:pPr>
        <w:ind w:left="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35E24E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414EA5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3BE37B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3BC465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A9AEFD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AAE281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6C6621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A7894F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1244872840">
    <w:abstractNumId w:val="39"/>
  </w:num>
  <w:num w:numId="2" w16cid:durableId="2032605420">
    <w:abstractNumId w:val="9"/>
  </w:num>
  <w:num w:numId="3" w16cid:durableId="1266890038">
    <w:abstractNumId w:val="3"/>
  </w:num>
  <w:num w:numId="4" w16cid:durableId="286665511">
    <w:abstractNumId w:val="5"/>
  </w:num>
  <w:num w:numId="5" w16cid:durableId="368913811">
    <w:abstractNumId w:val="35"/>
  </w:num>
  <w:num w:numId="6" w16cid:durableId="505483021">
    <w:abstractNumId w:val="36"/>
  </w:num>
  <w:num w:numId="7" w16cid:durableId="28919606">
    <w:abstractNumId w:val="11"/>
  </w:num>
  <w:num w:numId="8" w16cid:durableId="1755584731">
    <w:abstractNumId w:val="8"/>
  </w:num>
  <w:num w:numId="9" w16cid:durableId="1188371578">
    <w:abstractNumId w:val="34"/>
  </w:num>
  <w:num w:numId="10" w16cid:durableId="1774012846">
    <w:abstractNumId w:val="16"/>
  </w:num>
  <w:num w:numId="11" w16cid:durableId="359668938">
    <w:abstractNumId w:val="19"/>
  </w:num>
  <w:num w:numId="12" w16cid:durableId="1533615674">
    <w:abstractNumId w:val="15"/>
  </w:num>
  <w:num w:numId="13" w16cid:durableId="42145447">
    <w:abstractNumId w:val="23"/>
  </w:num>
  <w:num w:numId="14" w16cid:durableId="225915119">
    <w:abstractNumId w:val="17"/>
  </w:num>
  <w:num w:numId="15" w16cid:durableId="1458598493">
    <w:abstractNumId w:val="29"/>
  </w:num>
  <w:num w:numId="16" w16cid:durableId="1572889129">
    <w:abstractNumId w:val="0"/>
  </w:num>
  <w:num w:numId="17" w16cid:durableId="982276126">
    <w:abstractNumId w:val="13"/>
  </w:num>
  <w:num w:numId="18" w16cid:durableId="1117794066">
    <w:abstractNumId w:val="32"/>
  </w:num>
  <w:num w:numId="19" w16cid:durableId="134880854">
    <w:abstractNumId w:val="7"/>
  </w:num>
  <w:num w:numId="20" w16cid:durableId="842550751">
    <w:abstractNumId w:val="1"/>
  </w:num>
  <w:num w:numId="21" w16cid:durableId="199896963">
    <w:abstractNumId w:val="38"/>
  </w:num>
  <w:num w:numId="22" w16cid:durableId="591015013">
    <w:abstractNumId w:val="10"/>
  </w:num>
  <w:num w:numId="23" w16cid:durableId="1041441969">
    <w:abstractNumId w:val="27"/>
  </w:num>
  <w:num w:numId="24" w16cid:durableId="1781340147">
    <w:abstractNumId w:val="6"/>
  </w:num>
  <w:num w:numId="25" w16cid:durableId="1514879256">
    <w:abstractNumId w:val="12"/>
  </w:num>
  <w:num w:numId="26" w16cid:durableId="288901892">
    <w:abstractNumId w:val="25"/>
  </w:num>
  <w:num w:numId="27" w16cid:durableId="53938606">
    <w:abstractNumId w:val="24"/>
  </w:num>
  <w:num w:numId="28" w16cid:durableId="760375546">
    <w:abstractNumId w:val="20"/>
  </w:num>
  <w:num w:numId="29" w16cid:durableId="781147890">
    <w:abstractNumId w:val="14"/>
  </w:num>
  <w:num w:numId="30" w16cid:durableId="1549759587">
    <w:abstractNumId w:val="37"/>
  </w:num>
  <w:num w:numId="31" w16cid:durableId="1528833732">
    <w:abstractNumId w:val="26"/>
  </w:num>
  <w:num w:numId="32" w16cid:durableId="1412848213">
    <w:abstractNumId w:val="4"/>
  </w:num>
  <w:num w:numId="33" w16cid:durableId="1945771692">
    <w:abstractNumId w:val="18"/>
  </w:num>
  <w:num w:numId="34" w16cid:durableId="338511850">
    <w:abstractNumId w:val="30"/>
  </w:num>
  <w:num w:numId="35" w16cid:durableId="979454305">
    <w:abstractNumId w:val="33"/>
  </w:num>
  <w:num w:numId="36" w16cid:durableId="2008903399">
    <w:abstractNumId w:val="31"/>
  </w:num>
  <w:num w:numId="37" w16cid:durableId="548999969">
    <w:abstractNumId w:val="21"/>
  </w:num>
  <w:num w:numId="38" w16cid:durableId="921333066">
    <w:abstractNumId w:val="2"/>
  </w:num>
  <w:num w:numId="39" w16cid:durableId="293602230">
    <w:abstractNumId w:val="28"/>
  </w:num>
  <w:num w:numId="40" w16cid:durableId="128792719">
    <w:abstractNumId w:val="40"/>
  </w:num>
  <w:num w:numId="41" w16cid:durableId="13724135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E90"/>
    <w:rsid w:val="000A696D"/>
    <w:rsid w:val="000E60EA"/>
    <w:rsid w:val="001A6E90"/>
    <w:rsid w:val="001C0843"/>
    <w:rsid w:val="0025601A"/>
    <w:rsid w:val="005F1EB1"/>
    <w:rsid w:val="00730638"/>
    <w:rsid w:val="00752F93"/>
    <w:rsid w:val="00A101D6"/>
    <w:rsid w:val="00CD51C7"/>
    <w:rsid w:val="00F057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3C061"/>
  <w15:docId w15:val="{6D815CCA-CE9E-40D8-8A14-FBE67D89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46" w:line="252" w:lineRule="auto"/>
      <w:ind w:left="437" w:right="118" w:hanging="10"/>
    </w:pPr>
    <w:rPr>
      <w:rFonts w:ascii="Arial" w:eastAsia="Arial" w:hAnsi="Arial" w:cs="Arial"/>
      <w:color w:val="000000"/>
    </w:rPr>
  </w:style>
  <w:style w:type="paragraph" w:styleId="Nagwek1">
    <w:name w:val="heading 1"/>
    <w:next w:val="Normalny"/>
    <w:link w:val="Nagwek1Znak"/>
    <w:uiPriority w:val="9"/>
    <w:qFormat/>
    <w:pPr>
      <w:keepNext/>
      <w:keepLines/>
      <w:spacing w:after="43" w:line="259" w:lineRule="auto"/>
      <w:ind w:left="437" w:hanging="10"/>
      <w:outlineLvl w:val="0"/>
    </w:pPr>
    <w:rPr>
      <w:rFonts w:ascii="Arial" w:eastAsia="Arial" w:hAnsi="Arial" w:cs="Arial"/>
      <w:b/>
      <w:color w:val="000000"/>
      <w:sz w:val="36"/>
      <w:u w:val="single" w:color="000000"/>
    </w:rPr>
  </w:style>
  <w:style w:type="paragraph" w:styleId="Nagwek2">
    <w:name w:val="heading 2"/>
    <w:next w:val="Normalny"/>
    <w:link w:val="Nagwek2Znak"/>
    <w:uiPriority w:val="9"/>
    <w:unhideWhenUsed/>
    <w:qFormat/>
    <w:pPr>
      <w:keepNext/>
      <w:keepLines/>
      <w:spacing w:after="101" w:line="259" w:lineRule="auto"/>
      <w:ind w:left="437" w:hanging="10"/>
      <w:outlineLvl w:val="1"/>
    </w:pPr>
    <w:rPr>
      <w:rFonts w:ascii="Arial" w:eastAsia="Arial" w:hAnsi="Arial" w:cs="Arial"/>
      <w:color w:val="FF0000"/>
    </w:rPr>
  </w:style>
  <w:style w:type="paragraph" w:styleId="Nagwek3">
    <w:name w:val="heading 3"/>
    <w:next w:val="Normalny"/>
    <w:link w:val="Nagwek3Znak"/>
    <w:uiPriority w:val="9"/>
    <w:unhideWhenUsed/>
    <w:qFormat/>
    <w:pPr>
      <w:keepNext/>
      <w:keepLines/>
      <w:spacing w:after="298" w:line="259" w:lineRule="auto"/>
      <w:ind w:left="77" w:hanging="10"/>
      <w:outlineLvl w:val="2"/>
    </w:pPr>
    <w:rPr>
      <w:rFonts w:ascii="Arial" w:eastAsia="Arial" w:hAnsi="Arial" w:cs="Arial"/>
      <w:b/>
      <w:color w:val="00000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Arial" w:eastAsia="Arial" w:hAnsi="Arial" w:cs="Arial"/>
      <w:color w:val="FF0000"/>
      <w:sz w:val="24"/>
    </w:rPr>
  </w:style>
  <w:style w:type="character" w:customStyle="1" w:styleId="Nagwek1Znak">
    <w:name w:val="Nagłówek 1 Znak"/>
    <w:link w:val="Nagwek1"/>
    <w:rPr>
      <w:rFonts w:ascii="Arial" w:eastAsia="Arial" w:hAnsi="Arial" w:cs="Arial"/>
      <w:b/>
      <w:color w:val="000000"/>
      <w:sz w:val="36"/>
      <w:u w:val="single" w:color="000000"/>
    </w:rPr>
  </w:style>
  <w:style w:type="character" w:customStyle="1" w:styleId="Nagwek3Znak">
    <w:name w:val="Nagłówek 3 Znak"/>
    <w:link w:val="Nagwek3"/>
    <w:rPr>
      <w:rFonts w:ascii="Arial" w:eastAsia="Arial" w:hAnsi="Arial" w:cs="Arial"/>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6046</Words>
  <Characters>36282</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Bielak, Anna</dc:creator>
  <cp:keywords/>
  <cp:lastModifiedBy>LGDZPT</cp:lastModifiedBy>
  <cp:revision>2</cp:revision>
  <dcterms:created xsi:type="dcterms:W3CDTF">2024-10-02T12:03:00Z</dcterms:created>
  <dcterms:modified xsi:type="dcterms:W3CDTF">2024-10-02T12:03:00Z</dcterms:modified>
</cp:coreProperties>
</file>